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Default="00B06D8A" w:rsidP="00B06D8A">
      <w:pPr>
        <w:spacing w:line="360" w:lineRule="auto"/>
        <w:jc w:val="both"/>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F2A9E">
        <w:rPr>
          <w:rFonts w:ascii="Palatino Linotype" w:hAnsi="Palatino Linotype"/>
        </w:rPr>
        <w:t xml:space="preserve">treinta y uno </w:t>
      </w:r>
      <w:r>
        <w:rPr>
          <w:rFonts w:ascii="Palatino Linotype" w:hAnsi="Palatino Linotype"/>
        </w:rPr>
        <w:t>de julio de dos mil diecinueve.</w:t>
      </w:r>
    </w:p>
    <w:p w:rsidR="00B06D8A" w:rsidRDefault="00B06D8A" w:rsidP="00B06D8A">
      <w:pPr>
        <w:spacing w:line="360" w:lineRule="auto"/>
        <w:jc w:val="both"/>
        <w:rPr>
          <w:rFonts w:ascii="Palatino Linotype" w:hAnsi="Palatino Linotype"/>
        </w:rPr>
      </w:pPr>
    </w:p>
    <w:p w:rsidR="00B06D8A" w:rsidRDefault="00B06D8A" w:rsidP="00B06D8A">
      <w:pPr>
        <w:spacing w:line="360" w:lineRule="auto"/>
        <w:jc w:val="both"/>
        <w:rPr>
          <w:rFonts w:ascii="Palatino Linotype" w:hAnsi="Palatino Linotype"/>
        </w:rPr>
      </w:pPr>
      <w:r>
        <w:rPr>
          <w:rFonts w:ascii="Palatino Linotype" w:hAnsi="Palatino Linotype"/>
        </w:rPr>
        <w:t xml:space="preserve">VISTO el expediente formado con motivo del recurso de revisión </w:t>
      </w:r>
      <w:r>
        <w:rPr>
          <w:rFonts w:ascii="Palatino Linotype" w:hAnsi="Palatino Linotype"/>
          <w:b/>
        </w:rPr>
        <w:t>0</w:t>
      </w:r>
      <w:r w:rsidR="00706DE9">
        <w:rPr>
          <w:rFonts w:ascii="Palatino Linotype" w:hAnsi="Palatino Linotype"/>
          <w:b/>
        </w:rPr>
        <w:t>3807</w:t>
      </w:r>
      <w:r>
        <w:rPr>
          <w:rFonts w:ascii="Palatino Linotype" w:hAnsi="Palatino Linotype"/>
          <w:b/>
        </w:rPr>
        <w:t>/INFOEM/IP/RR/2019</w:t>
      </w:r>
      <w:r>
        <w:rPr>
          <w:rFonts w:ascii="Palatino Linotype" w:hAnsi="Palatino Linotype"/>
        </w:rPr>
        <w:t xml:space="preserve">, promovido por el </w:t>
      </w:r>
      <w:r>
        <w:rPr>
          <w:rFonts w:ascii="Palatino Linotype" w:hAnsi="Palatino Linotype"/>
          <w:b/>
        </w:rPr>
        <w:t>C.</w:t>
      </w:r>
      <w:r>
        <w:rPr>
          <w:rFonts w:ascii="Palatino Linotype" w:hAnsi="Palatino Linotype"/>
        </w:rPr>
        <w:t xml:space="preserve"> </w:t>
      </w:r>
      <w:proofErr w:type="spellStart"/>
      <w:r w:rsidR="008F033B">
        <w:rPr>
          <w:rFonts w:ascii="Palatino Linotype" w:hAnsi="Palatino Linotype"/>
          <w:b/>
        </w:rPr>
        <w:t>XXXXXX</w:t>
      </w:r>
      <w:proofErr w:type="spellEnd"/>
      <w:r w:rsidR="008F033B">
        <w:rPr>
          <w:rFonts w:ascii="Palatino Linotype" w:hAnsi="Palatino Linotype"/>
          <w:b/>
        </w:rPr>
        <w:t xml:space="preserve"> </w:t>
      </w:r>
      <w:proofErr w:type="spellStart"/>
      <w:r w:rsidR="008F033B">
        <w:rPr>
          <w:rFonts w:ascii="Palatino Linotype" w:hAnsi="Palatino Linotype"/>
          <w:b/>
        </w:rPr>
        <w:t>XXXXXX</w:t>
      </w:r>
      <w:proofErr w:type="spellEnd"/>
      <w:r w:rsidR="008F033B">
        <w:rPr>
          <w:rFonts w:ascii="Palatino Linotype" w:hAnsi="Palatino Linotype"/>
          <w:b/>
        </w:rPr>
        <w:t xml:space="preserve"> </w:t>
      </w:r>
      <w:proofErr w:type="spellStart"/>
      <w:r w:rsidR="008F033B">
        <w:rPr>
          <w:rFonts w:ascii="Palatino Linotype" w:hAnsi="Palatino Linotype"/>
          <w:b/>
        </w:rPr>
        <w:t>XXXXXXXX</w:t>
      </w:r>
      <w:proofErr w:type="spellEnd"/>
      <w:r w:rsidR="008F033B">
        <w:rPr>
          <w:rFonts w:ascii="Palatino Linotype" w:hAnsi="Palatino Linotype"/>
          <w:b/>
        </w:rPr>
        <w:t xml:space="preserve"> </w:t>
      </w:r>
      <w:proofErr w:type="spellStart"/>
      <w:r w:rsidR="008F033B" w:rsidRPr="008F033B">
        <w:rPr>
          <w:rFonts w:ascii="Palatino Linotype" w:hAnsi="Palatino Linotype"/>
          <w:b/>
        </w:rPr>
        <w:t>XXXXXSXX</w:t>
      </w:r>
      <w:proofErr w:type="spellEnd"/>
      <w:r>
        <w:rPr>
          <w:rFonts w:ascii="Palatino Linotype" w:hAnsi="Palatino Linotype"/>
        </w:rPr>
        <w:t xml:space="preserve">, en lo sucesivo </w:t>
      </w:r>
      <w:r>
        <w:rPr>
          <w:rFonts w:ascii="Palatino Linotype" w:hAnsi="Palatino Linotype"/>
          <w:b/>
        </w:rPr>
        <w:t>EL RECURRENTE,</w:t>
      </w:r>
      <w:r>
        <w:rPr>
          <w:rFonts w:ascii="Palatino Linotype" w:hAnsi="Palatino Linotype"/>
        </w:rPr>
        <w:t xml:space="preserve"> en contra de la respuesta emitida por el</w:t>
      </w:r>
      <w:r>
        <w:rPr>
          <w:rFonts w:ascii="Palatino Linotype" w:hAnsi="Palatino Linotype"/>
          <w:b/>
        </w:rPr>
        <w:t xml:space="preserve"> </w:t>
      </w:r>
      <w:r w:rsidR="00706DE9" w:rsidRPr="00706DE9">
        <w:rPr>
          <w:rFonts w:ascii="Palatino Linotype" w:hAnsi="Palatino Linotype"/>
          <w:b/>
        </w:rPr>
        <w:t>Ayuntamiento de Nicolás Romero</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B06D8A" w:rsidRDefault="00B06D8A" w:rsidP="00B06D8A">
      <w:pPr>
        <w:tabs>
          <w:tab w:val="left" w:pos="9072"/>
        </w:tabs>
        <w:spacing w:line="360" w:lineRule="auto"/>
        <w:jc w:val="both"/>
        <w:rPr>
          <w:rFonts w:ascii="Palatino Linotype" w:hAnsi="Palatino Linotype"/>
        </w:rPr>
      </w:pPr>
    </w:p>
    <w:p w:rsidR="00B06D8A" w:rsidRDefault="00B06D8A" w:rsidP="00B06D8A">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B06D8A" w:rsidRDefault="00B06D8A" w:rsidP="00B06D8A">
      <w:pPr>
        <w:spacing w:line="360" w:lineRule="auto"/>
        <w:jc w:val="center"/>
        <w:rPr>
          <w:rFonts w:ascii="Palatino Linotype" w:hAnsi="Palatino Linotype"/>
          <w:b/>
          <w:bCs/>
          <w:spacing w:val="60"/>
        </w:rPr>
      </w:pPr>
    </w:p>
    <w:p w:rsidR="00B06D8A" w:rsidRDefault="00B06D8A" w:rsidP="00706DE9">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En fecha </w:t>
      </w:r>
      <w:r w:rsidR="00706DE9">
        <w:rPr>
          <w:rFonts w:ascii="Palatino Linotype" w:hAnsi="Palatino Linotype"/>
        </w:rPr>
        <w:t>nueve de mayo</w:t>
      </w:r>
      <w:r>
        <w:rPr>
          <w:rFonts w:ascii="Palatino Linotype" w:hAnsi="Palatino Linotype"/>
        </w:rPr>
        <w:t xml:space="preserve"> de dos mil diecinueve,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00706DE9" w:rsidRPr="00706DE9">
        <w:rPr>
          <w:rFonts w:ascii="Palatino Linotype" w:hAnsi="Palatino Linotype"/>
          <w:b/>
          <w:bCs/>
        </w:rPr>
        <w:t>00202/NICOROM/IP/2019</w:t>
      </w:r>
      <w:r>
        <w:rPr>
          <w:rFonts w:ascii="Palatino Linotype" w:hAnsi="Palatino Linotype"/>
          <w:b/>
          <w:bCs/>
        </w:rPr>
        <w:t>,</w:t>
      </w:r>
      <w:r>
        <w:rPr>
          <w:rFonts w:ascii="Palatino Linotype" w:hAnsi="Palatino Linotype"/>
        </w:rPr>
        <w:t xml:space="preserve"> mediante la cual solicitó, vía </w:t>
      </w:r>
      <w:r>
        <w:rPr>
          <w:rFonts w:ascii="Palatino Linotype" w:hAnsi="Palatino Linotype"/>
          <w:b/>
        </w:rPr>
        <w:t>SAIMEX</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B06D8A" w:rsidRDefault="00B06D8A" w:rsidP="00B06D8A">
      <w:pPr>
        <w:pStyle w:val="Prrafodelista"/>
        <w:spacing w:line="360" w:lineRule="auto"/>
        <w:ind w:left="851" w:right="899"/>
        <w:jc w:val="both"/>
        <w:rPr>
          <w:rFonts w:ascii="Palatino Linotype" w:hAnsi="Palatino Linotype" w:cs="Arial"/>
          <w:i/>
        </w:rPr>
      </w:pPr>
    </w:p>
    <w:p w:rsidR="00B06D8A" w:rsidRDefault="00B06D8A" w:rsidP="00B06D8A">
      <w:pPr>
        <w:pStyle w:val="Prrafodelista"/>
        <w:ind w:left="709" w:right="757"/>
        <w:jc w:val="both"/>
        <w:rPr>
          <w:rFonts w:ascii="Palatino Linotype" w:hAnsi="Palatino Linotype" w:cs="Arial"/>
          <w:i/>
          <w:sz w:val="22"/>
        </w:rPr>
      </w:pPr>
      <w:r>
        <w:rPr>
          <w:rFonts w:ascii="Palatino Linotype" w:hAnsi="Palatino Linotype" w:cs="Arial"/>
          <w:i/>
          <w:sz w:val="22"/>
        </w:rPr>
        <w:t>“</w:t>
      </w:r>
      <w:r w:rsidR="00706DE9" w:rsidRPr="00706DE9">
        <w:rPr>
          <w:rFonts w:ascii="Palatino Linotype" w:hAnsi="Palatino Linotype" w:cs="Arial"/>
          <w:i/>
          <w:sz w:val="22"/>
        </w:rPr>
        <w:t xml:space="preserve">Solicito el catálogo o padrón de proveedores de bienes y servicios del Ayuntamiento, en donde obren todos sus datos de identificación y localización (denominación, razón social, domicilio, giro, teléfono, correo electrónico, acta constitutiva, etc.) y se me entregue vía </w:t>
      </w:r>
      <w:proofErr w:type="spellStart"/>
      <w:r w:rsidR="00706DE9" w:rsidRPr="00706DE9">
        <w:rPr>
          <w:rFonts w:ascii="Palatino Linotype" w:hAnsi="Palatino Linotype" w:cs="Arial"/>
          <w:i/>
          <w:sz w:val="22"/>
        </w:rPr>
        <w:t>saimex</w:t>
      </w:r>
      <w:proofErr w:type="spellEnd"/>
      <w:r>
        <w:rPr>
          <w:rFonts w:ascii="Palatino Linotype" w:hAnsi="Palatino Linotype" w:cs="Arial"/>
          <w:i/>
          <w:sz w:val="22"/>
        </w:rPr>
        <w:t xml:space="preserve">.” </w:t>
      </w:r>
      <w:r>
        <w:rPr>
          <w:rFonts w:ascii="Palatino Linotype" w:hAnsi="Palatino Linotype"/>
          <w:sz w:val="22"/>
        </w:rPr>
        <w:t>(Sic)</w:t>
      </w:r>
    </w:p>
    <w:p w:rsidR="00B06D8A" w:rsidRDefault="00B06D8A" w:rsidP="00B06D8A">
      <w:pPr>
        <w:spacing w:line="360" w:lineRule="auto"/>
        <w:ind w:right="709"/>
        <w:jc w:val="both"/>
        <w:rPr>
          <w:rFonts w:ascii="Palatino Linotype" w:hAnsi="Palatino Linotype"/>
        </w:rPr>
      </w:pPr>
    </w:p>
    <w:p w:rsidR="00B06D8A" w:rsidRDefault="00B06D8A" w:rsidP="00B06D8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advierte que en fecha </w:t>
      </w:r>
      <w:r w:rsidR="00706DE9">
        <w:rPr>
          <w:rFonts w:ascii="Palatino Linotype" w:hAnsi="Palatino Linotype" w:cs="Arial"/>
        </w:rPr>
        <w:t>nueve de mayo</w:t>
      </w:r>
      <w:r>
        <w:rPr>
          <w:rFonts w:ascii="Palatino Linotype" w:hAnsi="Palatino Linotype" w:cs="Arial"/>
        </w:rPr>
        <w:t xml:space="preserve"> de dos mil diecinueve, </w:t>
      </w:r>
      <w:r>
        <w:rPr>
          <w:rFonts w:ascii="Palatino Linotype" w:hAnsi="Palatino Linotype" w:cs="Arial"/>
          <w:b/>
        </w:rPr>
        <w:t>EL SUJETO OBLIGADO</w:t>
      </w:r>
      <w:r>
        <w:rPr>
          <w:rFonts w:ascii="Palatino Linotype" w:hAnsi="Palatino Linotype" w:cs="Arial"/>
        </w:rPr>
        <w:t xml:space="preserve"> a manera de respuesta a la </w:t>
      </w:r>
      <w:r>
        <w:rPr>
          <w:rFonts w:ascii="Palatino Linotype" w:hAnsi="Palatino Linotype" w:cs="Arial"/>
        </w:rPr>
        <w:lastRenderedPageBreak/>
        <w:t xml:space="preserve">solicitud de acceso a la información pública requerida por </w:t>
      </w:r>
      <w:r>
        <w:rPr>
          <w:rFonts w:ascii="Palatino Linotype" w:hAnsi="Palatino Linotype" w:cs="Arial"/>
          <w:b/>
        </w:rPr>
        <w:t>EL RECURRENTE</w:t>
      </w:r>
      <w:r>
        <w:rPr>
          <w:rFonts w:ascii="Palatino Linotype" w:hAnsi="Palatino Linotype" w:cs="Arial"/>
        </w:rPr>
        <w:t>, se pronunció en estos términos:</w:t>
      </w:r>
    </w:p>
    <w:p w:rsidR="00B06D8A" w:rsidRDefault="00B06D8A" w:rsidP="00B06D8A">
      <w:pPr>
        <w:pStyle w:val="Prrafodelista"/>
        <w:ind w:right="757"/>
        <w:jc w:val="right"/>
        <w:rPr>
          <w:rFonts w:ascii="Palatino Linotype" w:hAnsi="Palatino Linotype" w:cs="Arial"/>
          <w:i/>
          <w:sz w:val="22"/>
        </w:rPr>
      </w:pPr>
    </w:p>
    <w:p w:rsidR="00706DE9" w:rsidRPr="00706DE9" w:rsidRDefault="00B06D8A" w:rsidP="00706DE9">
      <w:pPr>
        <w:pStyle w:val="Prrafodelista"/>
        <w:ind w:right="757"/>
        <w:jc w:val="right"/>
        <w:rPr>
          <w:rFonts w:ascii="Palatino Linotype" w:hAnsi="Palatino Linotype" w:cs="Arial"/>
          <w:i/>
          <w:sz w:val="22"/>
        </w:rPr>
      </w:pPr>
      <w:r>
        <w:rPr>
          <w:rFonts w:ascii="Palatino Linotype" w:hAnsi="Palatino Linotype" w:cs="Arial"/>
          <w:i/>
          <w:sz w:val="22"/>
        </w:rPr>
        <w:t>“</w:t>
      </w:r>
      <w:r w:rsidR="00706DE9" w:rsidRPr="00706DE9">
        <w:rPr>
          <w:rFonts w:ascii="Palatino Linotype" w:hAnsi="Palatino Linotype" w:cs="Arial"/>
          <w:i/>
          <w:sz w:val="22"/>
        </w:rPr>
        <w:t>Nicolás Romero, México a 09 de Mayo de 2019</w:t>
      </w:r>
    </w:p>
    <w:p w:rsidR="00706DE9" w:rsidRPr="00706DE9" w:rsidRDefault="00706DE9" w:rsidP="00706DE9">
      <w:pPr>
        <w:pStyle w:val="Prrafodelista"/>
        <w:ind w:right="757"/>
        <w:jc w:val="right"/>
        <w:rPr>
          <w:rFonts w:ascii="Palatino Linotype" w:hAnsi="Palatino Linotype" w:cs="Arial"/>
          <w:i/>
          <w:sz w:val="22"/>
        </w:rPr>
      </w:pPr>
      <w:r w:rsidRPr="00706DE9">
        <w:rPr>
          <w:rFonts w:ascii="Palatino Linotype" w:hAnsi="Palatino Linotype" w:cs="Arial"/>
          <w:i/>
          <w:sz w:val="22"/>
        </w:rPr>
        <w:t xml:space="preserve">Nombre del solicitante: </w:t>
      </w:r>
      <w:proofErr w:type="spellStart"/>
      <w:r w:rsidR="008F033B" w:rsidRPr="008F033B">
        <w:rPr>
          <w:rFonts w:ascii="Palatino Linotype" w:hAnsi="Palatino Linotype" w:cs="Arial"/>
          <w:i/>
          <w:sz w:val="22"/>
        </w:rPr>
        <w:t>XXXXXX</w:t>
      </w:r>
      <w:proofErr w:type="spellEnd"/>
      <w:r w:rsidR="008F033B" w:rsidRPr="008F033B">
        <w:rPr>
          <w:rFonts w:ascii="Palatino Linotype" w:hAnsi="Palatino Linotype" w:cs="Arial"/>
          <w:i/>
          <w:sz w:val="22"/>
        </w:rPr>
        <w:t xml:space="preserve"> </w:t>
      </w:r>
      <w:proofErr w:type="spellStart"/>
      <w:r w:rsidR="008F033B" w:rsidRPr="008F033B">
        <w:rPr>
          <w:rFonts w:ascii="Palatino Linotype" w:hAnsi="Palatino Linotype" w:cs="Arial"/>
          <w:i/>
          <w:sz w:val="22"/>
        </w:rPr>
        <w:t>XXXXXX</w:t>
      </w:r>
      <w:proofErr w:type="spellEnd"/>
      <w:r w:rsidR="008F033B" w:rsidRPr="008F033B">
        <w:rPr>
          <w:rFonts w:ascii="Palatino Linotype" w:hAnsi="Palatino Linotype" w:cs="Arial"/>
          <w:i/>
          <w:sz w:val="22"/>
        </w:rPr>
        <w:t xml:space="preserve"> </w:t>
      </w:r>
      <w:proofErr w:type="spellStart"/>
      <w:r w:rsidR="008F033B" w:rsidRPr="008F033B">
        <w:rPr>
          <w:rFonts w:ascii="Palatino Linotype" w:hAnsi="Palatino Linotype" w:cs="Arial"/>
          <w:i/>
          <w:sz w:val="22"/>
        </w:rPr>
        <w:t>XXXXXXXX</w:t>
      </w:r>
      <w:proofErr w:type="spellEnd"/>
      <w:r w:rsidR="008F033B">
        <w:rPr>
          <w:rFonts w:ascii="Palatino Linotype" w:hAnsi="Palatino Linotype" w:cs="Arial"/>
          <w:i/>
          <w:sz w:val="22"/>
        </w:rPr>
        <w:t xml:space="preserve"> </w:t>
      </w:r>
      <w:proofErr w:type="spellStart"/>
      <w:r w:rsidR="008F033B" w:rsidRPr="008F033B">
        <w:rPr>
          <w:rFonts w:ascii="Palatino Linotype" w:hAnsi="Palatino Linotype" w:cs="Arial"/>
          <w:i/>
          <w:sz w:val="22"/>
        </w:rPr>
        <w:t>XXXXXSXX</w:t>
      </w:r>
      <w:proofErr w:type="spellEnd"/>
    </w:p>
    <w:p w:rsidR="00706DE9" w:rsidRDefault="00706DE9" w:rsidP="00706DE9">
      <w:pPr>
        <w:pStyle w:val="Prrafodelista"/>
        <w:ind w:right="757"/>
        <w:jc w:val="right"/>
        <w:rPr>
          <w:rFonts w:ascii="Palatino Linotype" w:hAnsi="Palatino Linotype" w:cs="Arial"/>
          <w:i/>
          <w:sz w:val="22"/>
        </w:rPr>
      </w:pPr>
      <w:r w:rsidRPr="00706DE9">
        <w:rPr>
          <w:rFonts w:ascii="Palatino Linotype" w:hAnsi="Palatino Linotype" w:cs="Arial"/>
          <w:i/>
          <w:sz w:val="22"/>
        </w:rPr>
        <w:t>Folio de la solicitud: 00202/NICOROM/IP/2019</w:t>
      </w:r>
    </w:p>
    <w:p w:rsidR="00706DE9" w:rsidRPr="00706DE9" w:rsidRDefault="00706DE9" w:rsidP="00706DE9">
      <w:pPr>
        <w:pStyle w:val="Prrafodelista"/>
        <w:ind w:right="757"/>
        <w:jc w:val="right"/>
        <w:rPr>
          <w:rFonts w:ascii="Palatino Linotype" w:hAnsi="Palatino Linotype" w:cs="Arial"/>
          <w:i/>
          <w:sz w:val="22"/>
        </w:rPr>
      </w:pPr>
    </w:p>
    <w:p w:rsidR="00706DE9" w:rsidRPr="00706DE9" w:rsidRDefault="00706DE9" w:rsidP="00706DE9">
      <w:pPr>
        <w:pStyle w:val="Prrafodelista"/>
        <w:ind w:right="757"/>
        <w:jc w:val="both"/>
        <w:rPr>
          <w:rFonts w:ascii="Palatino Linotype" w:hAnsi="Palatino Linotype" w:cs="Arial"/>
          <w:i/>
          <w:sz w:val="22"/>
        </w:rPr>
      </w:pPr>
      <w:r w:rsidRPr="00706DE9">
        <w:rPr>
          <w:rFonts w:ascii="Palatino Linotype" w:hAnsi="Palatino Linotype" w:cs="Arial"/>
          <w:i/>
          <w:sz w:val="22"/>
        </w:rPr>
        <w:t xml:space="preserve">En términos del artículo 161 de la Ley de Transparencia y Acceso a la Información Pública del Estado de México y Municipios, que a letra dice: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Dicho lo anterior me permito comunicarle que la información requerida la encuentra en el portal IPOMEX (Información </w:t>
      </w:r>
      <w:proofErr w:type="spellStart"/>
      <w:r w:rsidRPr="00706DE9">
        <w:rPr>
          <w:rFonts w:ascii="Palatino Linotype" w:hAnsi="Palatino Linotype" w:cs="Arial"/>
          <w:i/>
          <w:sz w:val="22"/>
        </w:rPr>
        <w:t>Publica</w:t>
      </w:r>
      <w:proofErr w:type="spellEnd"/>
      <w:r w:rsidRPr="00706DE9">
        <w:rPr>
          <w:rFonts w:ascii="Palatino Linotype" w:hAnsi="Palatino Linotype" w:cs="Arial"/>
          <w:i/>
          <w:sz w:val="22"/>
        </w:rPr>
        <w:t xml:space="preserve"> de Oficio Mexiquense) seleccionando Ayuntamiento y posteriormente Nicolás Romero; en el artículo 92 fracción XXXVI “Padrón de proveedores y contratistas” seleccionara el ejercicio puede ser 2018 o 2019. De igual manera se le proporciona la liga: https://www.ipomex.org.mx/ipo3/lgt/indice/NICOLASROMERO/art_92_xxxvi.web Sin </w:t>
      </w:r>
      <w:proofErr w:type="spellStart"/>
      <w:proofErr w:type="gramStart"/>
      <w:r w:rsidRPr="00706DE9">
        <w:rPr>
          <w:rFonts w:ascii="Palatino Linotype" w:hAnsi="Palatino Linotype" w:cs="Arial"/>
          <w:i/>
          <w:sz w:val="22"/>
        </w:rPr>
        <w:t>mas</w:t>
      </w:r>
      <w:proofErr w:type="spellEnd"/>
      <w:proofErr w:type="gramEnd"/>
      <w:r w:rsidRPr="00706DE9">
        <w:rPr>
          <w:rFonts w:ascii="Palatino Linotype" w:hAnsi="Palatino Linotype" w:cs="Arial"/>
          <w:i/>
          <w:sz w:val="22"/>
        </w:rPr>
        <w:t xml:space="preserve"> por el momento, reciba un cordial saludo.</w:t>
      </w:r>
    </w:p>
    <w:p w:rsidR="00706DE9" w:rsidRDefault="00706DE9" w:rsidP="00706DE9">
      <w:pPr>
        <w:pStyle w:val="Prrafodelista"/>
        <w:ind w:right="757"/>
        <w:jc w:val="both"/>
        <w:rPr>
          <w:rFonts w:ascii="Palatino Linotype" w:hAnsi="Palatino Linotype" w:cs="Arial"/>
          <w:i/>
          <w:sz w:val="22"/>
        </w:rPr>
      </w:pPr>
    </w:p>
    <w:p w:rsidR="00706DE9" w:rsidRPr="00706DE9" w:rsidRDefault="00706DE9" w:rsidP="00706DE9">
      <w:pPr>
        <w:pStyle w:val="Prrafodelista"/>
        <w:ind w:right="757"/>
        <w:jc w:val="both"/>
        <w:rPr>
          <w:rFonts w:ascii="Palatino Linotype" w:hAnsi="Palatino Linotype" w:cs="Arial"/>
          <w:i/>
          <w:sz w:val="22"/>
        </w:rPr>
      </w:pPr>
      <w:r w:rsidRPr="00706DE9">
        <w:rPr>
          <w:rFonts w:ascii="Palatino Linotype" w:hAnsi="Palatino Linotype" w:cs="Arial"/>
          <w:i/>
          <w:sz w:val="22"/>
        </w:rPr>
        <w:t>ATENTAMENTE</w:t>
      </w:r>
    </w:p>
    <w:p w:rsidR="00B06D8A" w:rsidRDefault="00706DE9" w:rsidP="00706DE9">
      <w:pPr>
        <w:pStyle w:val="Prrafodelista"/>
        <w:ind w:right="757"/>
        <w:jc w:val="both"/>
        <w:rPr>
          <w:rFonts w:ascii="Palatino Linotype" w:hAnsi="Palatino Linotype" w:cs="Arial"/>
          <w:sz w:val="22"/>
        </w:rPr>
      </w:pPr>
      <w:r w:rsidRPr="00706DE9">
        <w:rPr>
          <w:rFonts w:ascii="Palatino Linotype" w:hAnsi="Palatino Linotype" w:cs="Arial"/>
          <w:i/>
          <w:sz w:val="22"/>
        </w:rPr>
        <w:t>LIC. ALFONSO HERNANDEZ GASCA</w:t>
      </w:r>
      <w:r w:rsidR="00B06D8A">
        <w:rPr>
          <w:rFonts w:ascii="Palatino Linotype" w:hAnsi="Palatino Linotype" w:cs="Arial"/>
          <w:i/>
          <w:sz w:val="22"/>
        </w:rPr>
        <w:t xml:space="preserve">” </w:t>
      </w:r>
      <w:r w:rsidR="00B06D8A">
        <w:rPr>
          <w:rFonts w:ascii="Palatino Linotype" w:hAnsi="Palatino Linotype" w:cs="Arial"/>
          <w:sz w:val="22"/>
        </w:rPr>
        <w:t>(Sic)</w:t>
      </w:r>
    </w:p>
    <w:p w:rsidR="00B06D8A" w:rsidRDefault="00B06D8A" w:rsidP="00B06D8A">
      <w:pPr>
        <w:spacing w:line="360" w:lineRule="auto"/>
        <w:rPr>
          <w:rFonts w:ascii="Palatino Linotype" w:hAnsi="Palatino Linotype"/>
        </w:rPr>
      </w:pPr>
    </w:p>
    <w:p w:rsidR="00B06D8A" w:rsidRPr="0017587B" w:rsidRDefault="00B06D8A" w:rsidP="00B06D8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706DE9">
        <w:rPr>
          <w:rFonts w:ascii="Palatino Linotype" w:hAnsi="Palatino Linotype"/>
        </w:rPr>
        <w:t>trece de mayo</w:t>
      </w:r>
      <w:r>
        <w:rPr>
          <w:rFonts w:ascii="Palatino Linotype" w:hAnsi="Palatino Linotype"/>
        </w:rPr>
        <w:t xml:space="preserve"> de dos mil diecinueve,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w:t>
      </w:r>
      <w:r w:rsidR="00C13BF5">
        <w:rPr>
          <w:rFonts w:ascii="Palatino Linotype" w:hAnsi="Palatino Linotype" w:cs="Arial"/>
          <w:b/>
          <w:bCs/>
        </w:rPr>
        <w:t>3807</w:t>
      </w:r>
      <w:r>
        <w:rPr>
          <w:rFonts w:ascii="Palatino Linotype" w:hAnsi="Palatino Linotype" w:cs="Arial"/>
          <w:b/>
          <w:bCs/>
        </w:rPr>
        <w:t>/INFOEM/IP/RR/2019</w:t>
      </w:r>
      <w:r>
        <w:rPr>
          <w:rFonts w:ascii="Palatino Linotype" w:hAnsi="Palatino Linotype" w:cs="Arial"/>
        </w:rPr>
        <w:t>, en el que señaló como acto impugnado lo siguiente:</w:t>
      </w:r>
    </w:p>
    <w:p w:rsidR="00B06D8A" w:rsidRDefault="006917E8" w:rsidP="006917E8">
      <w:pPr>
        <w:spacing w:line="360" w:lineRule="auto"/>
        <w:ind w:left="709" w:right="757"/>
        <w:jc w:val="both"/>
        <w:rPr>
          <w:rFonts w:ascii="Palatino Linotype" w:hAnsi="Palatino Linotype"/>
          <w:i/>
          <w:color w:val="000000"/>
          <w:sz w:val="22"/>
        </w:rPr>
      </w:pPr>
      <w:r>
        <w:rPr>
          <w:rFonts w:ascii="Palatino Linotype" w:hAnsi="Palatino Linotype"/>
          <w:i/>
          <w:color w:val="000000"/>
          <w:sz w:val="22"/>
        </w:rPr>
        <w:t>“</w:t>
      </w:r>
      <w:r w:rsidR="00706DE9" w:rsidRPr="00706DE9">
        <w:rPr>
          <w:rFonts w:ascii="Palatino Linotype" w:hAnsi="Palatino Linotype"/>
          <w:i/>
          <w:color w:val="000000"/>
          <w:sz w:val="22"/>
        </w:rPr>
        <w:t>Falta de información</w:t>
      </w:r>
      <w:r>
        <w:rPr>
          <w:rFonts w:ascii="Palatino Linotype" w:hAnsi="Palatino Linotype"/>
          <w:i/>
          <w:color w:val="000000"/>
          <w:sz w:val="22"/>
        </w:rPr>
        <w:t>”</w:t>
      </w:r>
    </w:p>
    <w:p w:rsidR="006917E8" w:rsidRDefault="006917E8" w:rsidP="006917E8">
      <w:pPr>
        <w:spacing w:line="360" w:lineRule="auto"/>
        <w:ind w:right="757"/>
        <w:jc w:val="both"/>
        <w:rPr>
          <w:rFonts w:ascii="Palatino Linotype" w:hAnsi="Palatino Linotype" w:cs="Arial"/>
          <w:spacing w:val="-6"/>
          <w:lang w:eastAsia="es-MX"/>
        </w:rPr>
      </w:pPr>
    </w:p>
    <w:p w:rsidR="00B06D8A" w:rsidRDefault="00B06D8A" w:rsidP="00B06D8A">
      <w:pPr>
        <w:ind w:right="757"/>
        <w:jc w:val="both"/>
        <w:rPr>
          <w:rFonts w:ascii="Palatino Linotype" w:hAnsi="Palatino Linotype" w:cs="Arial"/>
        </w:rPr>
      </w:pPr>
      <w:r>
        <w:rPr>
          <w:rFonts w:ascii="Palatino Linotype" w:hAnsi="Palatino Linotype" w:cs="Arial"/>
          <w:spacing w:val="-6"/>
          <w:lang w:eastAsia="es-MX"/>
        </w:rPr>
        <w:lastRenderedPageBreak/>
        <w:t xml:space="preserve">Asimismo, manifestó como </w:t>
      </w:r>
      <w:r>
        <w:rPr>
          <w:rFonts w:ascii="Palatino Linotype" w:hAnsi="Palatino Linotype" w:cs="Arial"/>
        </w:rPr>
        <w:t>razones o motivos de inconformidad:</w:t>
      </w:r>
    </w:p>
    <w:p w:rsidR="00B06D8A" w:rsidRDefault="00B06D8A" w:rsidP="00B06D8A">
      <w:pPr>
        <w:pStyle w:val="Prrafodelista"/>
        <w:ind w:left="709" w:right="757"/>
        <w:jc w:val="both"/>
        <w:rPr>
          <w:rFonts w:ascii="Palatino Linotype" w:hAnsi="Palatino Linotype" w:cs="Arial"/>
          <w:i/>
          <w:spacing w:val="-6"/>
          <w:sz w:val="22"/>
          <w:lang w:eastAsia="es-MX"/>
        </w:rPr>
      </w:pPr>
    </w:p>
    <w:p w:rsidR="00B06D8A" w:rsidRDefault="00B06D8A" w:rsidP="00B06D8A">
      <w:pPr>
        <w:pStyle w:val="Prrafodelista"/>
        <w:ind w:left="709" w:right="757"/>
        <w:jc w:val="both"/>
        <w:rPr>
          <w:rFonts w:ascii="Palatino Linotype" w:hAnsi="Palatino Linotype" w:cs="Arial"/>
          <w:i/>
          <w:sz w:val="22"/>
        </w:rPr>
      </w:pPr>
      <w:r>
        <w:rPr>
          <w:rFonts w:ascii="Palatino Linotype" w:hAnsi="Palatino Linotype" w:cs="Arial"/>
          <w:i/>
          <w:spacing w:val="-6"/>
          <w:sz w:val="22"/>
          <w:lang w:eastAsia="es-MX"/>
        </w:rPr>
        <w:t>“</w:t>
      </w:r>
      <w:r w:rsidR="00706DE9" w:rsidRPr="00706DE9">
        <w:rPr>
          <w:rFonts w:ascii="Palatino Linotype" w:hAnsi="Palatino Linotype" w:cs="Arial"/>
          <w:i/>
          <w:spacing w:val="-6"/>
          <w:sz w:val="22"/>
          <w:lang w:eastAsia="es-MX"/>
        </w:rPr>
        <w:t xml:space="preserve">Me envían el link de la fracción de proveedores pero en esa fracción no se encuentra el acta constitutiva de los proveedores, información que solicite que se me enviara por vía </w:t>
      </w:r>
      <w:proofErr w:type="spellStart"/>
      <w:r w:rsidR="00706DE9" w:rsidRPr="00706DE9">
        <w:rPr>
          <w:rFonts w:ascii="Palatino Linotype" w:hAnsi="Palatino Linotype" w:cs="Arial"/>
          <w:i/>
          <w:spacing w:val="-6"/>
          <w:sz w:val="22"/>
          <w:lang w:eastAsia="es-MX"/>
        </w:rPr>
        <w:t>samiex</w:t>
      </w:r>
      <w:proofErr w:type="spellEnd"/>
      <w:r w:rsidR="00706DE9" w:rsidRPr="00706DE9">
        <w:rPr>
          <w:rFonts w:ascii="Palatino Linotype" w:hAnsi="Palatino Linotype" w:cs="Arial"/>
          <w:i/>
          <w:spacing w:val="-6"/>
          <w:sz w:val="22"/>
          <w:lang w:eastAsia="es-MX"/>
        </w:rPr>
        <w:t>.</w:t>
      </w:r>
      <w:r>
        <w:rPr>
          <w:rFonts w:ascii="Palatino Linotype" w:hAnsi="Palatino Linotype" w:cs="Arial"/>
          <w:i/>
          <w:spacing w:val="-6"/>
          <w:sz w:val="22"/>
          <w:lang w:eastAsia="es-MX"/>
        </w:rPr>
        <w:t xml:space="preserve">” </w:t>
      </w:r>
    </w:p>
    <w:p w:rsidR="00B06D8A" w:rsidRDefault="00B06D8A" w:rsidP="00B06D8A">
      <w:pPr>
        <w:spacing w:line="360" w:lineRule="auto"/>
        <w:ind w:right="49"/>
        <w:rPr>
          <w:rFonts w:ascii="Palatino Linotype" w:hAnsi="Palatino Linotype" w:cs="Arial"/>
          <w:spacing w:val="-6"/>
          <w:lang w:eastAsia="es-MX"/>
        </w:rPr>
      </w:pPr>
    </w:p>
    <w:p w:rsidR="00B06D8A" w:rsidRDefault="00B06D8A" w:rsidP="00B06D8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C13BF5">
        <w:rPr>
          <w:rFonts w:ascii="Palatino Linotype" w:hAnsi="Palatino Linotype" w:cs="Arial"/>
        </w:rPr>
        <w:t>trece de mayo</w:t>
      </w:r>
      <w:r>
        <w:rPr>
          <w:rFonts w:ascii="Palatino Linotype" w:hAnsi="Palatino Linotype" w:cs="Arial"/>
        </w:rPr>
        <w:t xml:space="preserve"> del presente año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B06D8A" w:rsidRDefault="00B06D8A" w:rsidP="00B06D8A">
      <w:pPr>
        <w:pStyle w:val="Prrafodelista"/>
        <w:spacing w:line="360" w:lineRule="auto"/>
        <w:ind w:left="0"/>
        <w:jc w:val="both"/>
        <w:rPr>
          <w:rFonts w:ascii="Palatino Linotype" w:hAnsi="Palatino Linotype" w:cs="Arial"/>
        </w:rPr>
      </w:pPr>
    </w:p>
    <w:p w:rsidR="00C13BF5" w:rsidRDefault="00B06D8A" w:rsidP="00C13BF5">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En fecha </w:t>
      </w:r>
      <w:r w:rsidR="00C13BF5">
        <w:rPr>
          <w:rFonts w:ascii="Palatino Linotype" w:hAnsi="Palatino Linotype" w:cs="Arial"/>
        </w:rPr>
        <w:t>diecisiete de mayo</w:t>
      </w:r>
      <w:r>
        <w:rPr>
          <w:rFonts w:ascii="Palatino Linotype" w:hAnsi="Palatino Linotype" w:cs="Arial"/>
        </w:rPr>
        <w:t xml:space="preserve"> de dos mi diecinueve,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C13BF5" w:rsidRPr="00C13BF5" w:rsidRDefault="00C13BF5" w:rsidP="00C13BF5">
      <w:pPr>
        <w:pStyle w:val="Prrafodelista"/>
        <w:spacing w:line="360" w:lineRule="auto"/>
        <w:rPr>
          <w:rFonts w:ascii="Palatino Linotype" w:hAnsi="Palatino Linotype" w:cs="Arial"/>
        </w:rPr>
      </w:pPr>
    </w:p>
    <w:p w:rsidR="00C13BF5" w:rsidRPr="00C13BF5" w:rsidRDefault="00C13BF5" w:rsidP="00C13BF5">
      <w:pPr>
        <w:pStyle w:val="Prrafodelista"/>
        <w:numPr>
          <w:ilvl w:val="0"/>
          <w:numId w:val="2"/>
        </w:numPr>
        <w:spacing w:line="360" w:lineRule="auto"/>
        <w:ind w:left="0" w:firstLine="0"/>
        <w:jc w:val="both"/>
        <w:rPr>
          <w:rFonts w:ascii="Palatino Linotype" w:hAnsi="Palatino Linotype" w:cs="Arial"/>
        </w:rPr>
      </w:pPr>
      <w:r w:rsidRPr="00C13BF5">
        <w:rPr>
          <w:rFonts w:ascii="Palatino Linotype" w:hAnsi="Palatino Linotype" w:cs="Arial"/>
        </w:rPr>
        <w:t xml:space="preserve">De las constancias que obran en el </w:t>
      </w:r>
      <w:r w:rsidRPr="00C13BF5">
        <w:rPr>
          <w:rFonts w:ascii="Palatino Linotype" w:hAnsi="Palatino Linotype" w:cs="Arial"/>
          <w:b/>
        </w:rPr>
        <w:t>SAIMEX</w:t>
      </w:r>
      <w:r w:rsidRPr="00C13BF5">
        <w:rPr>
          <w:rFonts w:ascii="Palatino Linotype" w:hAnsi="Palatino Linotype" w:cs="Arial"/>
        </w:rPr>
        <w:t>, se advierte que</w:t>
      </w:r>
      <w:r w:rsidRPr="00C13BF5">
        <w:rPr>
          <w:rFonts w:ascii="Palatino Linotype" w:hAnsi="Palatino Linotype" w:cs="Arial"/>
          <w:b/>
        </w:rPr>
        <w:t xml:space="preserve"> </w:t>
      </w:r>
      <w:r>
        <w:rPr>
          <w:rFonts w:ascii="Palatino Linotype" w:hAnsi="Palatino Linotype" w:cs="Arial"/>
          <w:b/>
        </w:rPr>
        <w:t>EL</w:t>
      </w:r>
      <w:r w:rsidRPr="00C13BF5">
        <w:rPr>
          <w:rFonts w:ascii="Palatino Linotype" w:hAnsi="Palatino Linotype" w:cs="Arial"/>
          <w:b/>
        </w:rPr>
        <w:t xml:space="preserve"> RECURRENTE </w:t>
      </w:r>
      <w:r w:rsidRPr="00C13BF5">
        <w:rPr>
          <w:rFonts w:ascii="Palatino Linotype" w:hAnsi="Palatino Linotype" w:cs="Arial"/>
        </w:rPr>
        <w:t xml:space="preserve">no presentó manifestaciones y alegatos, ni ofreció los medios de prueba que a su derecho convinieran. Por su parte, </w:t>
      </w:r>
      <w:r w:rsidRPr="00C13BF5">
        <w:rPr>
          <w:rFonts w:ascii="Palatino Linotype" w:hAnsi="Palatino Linotype" w:cs="Arial"/>
          <w:b/>
        </w:rPr>
        <w:t>EL SUJETO OBLIGADO</w:t>
      </w:r>
      <w:r w:rsidRPr="00C13BF5">
        <w:rPr>
          <w:rFonts w:ascii="Palatino Linotype" w:hAnsi="Palatino Linotype" w:cs="Arial"/>
        </w:rPr>
        <w:t xml:space="preserve"> en fecha </w:t>
      </w:r>
      <w:r>
        <w:rPr>
          <w:rFonts w:ascii="Palatino Linotype" w:hAnsi="Palatino Linotype" w:cs="Arial"/>
        </w:rPr>
        <w:t>diecisiete</w:t>
      </w:r>
      <w:r w:rsidRPr="00C13BF5">
        <w:rPr>
          <w:rFonts w:ascii="Palatino Linotype" w:hAnsi="Palatino Linotype" w:cs="Arial"/>
        </w:rPr>
        <w:t xml:space="preserve"> de mayo rindió su Informe Justificado, el cual, al modificar su </w:t>
      </w:r>
      <w:r>
        <w:rPr>
          <w:rFonts w:ascii="Palatino Linotype" w:hAnsi="Palatino Linotype" w:cs="Arial"/>
        </w:rPr>
        <w:t>respuesta</w:t>
      </w:r>
      <w:r w:rsidRPr="00C13BF5">
        <w:rPr>
          <w:rFonts w:ascii="Palatino Linotype" w:hAnsi="Palatino Linotype" w:cs="Arial"/>
        </w:rPr>
        <w:t xml:space="preserve"> y actualizar lo dispuesto por la fracción III del artículo 185 de la Ley de Transparencia y Acceso a la Información Pública de Estado de México, fue puesto a la vista del particular el </w:t>
      </w:r>
      <w:r>
        <w:rPr>
          <w:rFonts w:ascii="Palatino Linotype" w:hAnsi="Palatino Linotype" w:cs="Arial"/>
        </w:rPr>
        <w:t>diez</w:t>
      </w:r>
      <w:r w:rsidRPr="00C13BF5">
        <w:rPr>
          <w:rFonts w:ascii="Palatino Linotype" w:hAnsi="Palatino Linotype" w:cs="Arial"/>
        </w:rPr>
        <w:t xml:space="preserve"> de junio de la presente anualidad, tal y como se advierte en la siguiente imagen:</w:t>
      </w:r>
    </w:p>
    <w:p w:rsidR="00C13BF5" w:rsidRDefault="00C13BF5" w:rsidP="00C13BF5">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rsidR="00C13BF5" w:rsidRPr="006765E1" w:rsidRDefault="00C13BF5" w:rsidP="00C13BF5">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Pr>
          <w:noProof/>
          <w:lang w:eastAsia="es-MX"/>
        </w:rPr>
        <w:drawing>
          <wp:inline distT="0" distB="0" distL="0" distR="0" wp14:anchorId="19F7189A" wp14:editId="4965AE57">
            <wp:extent cx="5612130" cy="259461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594610"/>
                    </a:xfrm>
                    <a:prstGeom prst="rect">
                      <a:avLst/>
                    </a:prstGeom>
                  </pic:spPr>
                </pic:pic>
              </a:graphicData>
            </a:graphic>
          </wp:inline>
        </w:drawing>
      </w:r>
    </w:p>
    <w:p w:rsidR="00B06D8A" w:rsidRDefault="00B06D8A" w:rsidP="00B06D8A">
      <w:pPr>
        <w:pStyle w:val="Prrafodelista"/>
        <w:spacing w:line="360" w:lineRule="auto"/>
        <w:ind w:left="0"/>
        <w:jc w:val="both"/>
        <w:rPr>
          <w:rFonts w:ascii="Palatino Linotype" w:hAnsi="Palatino Linotype" w:cs="Arial"/>
        </w:rPr>
      </w:pPr>
    </w:p>
    <w:p w:rsidR="00B06D8A" w:rsidRDefault="00B06D8A" w:rsidP="00B06D8A">
      <w:pPr>
        <w:pStyle w:val="Prrafodelista"/>
        <w:numPr>
          <w:ilvl w:val="0"/>
          <w:numId w:val="2"/>
        </w:numPr>
        <w:spacing w:line="360" w:lineRule="auto"/>
        <w:ind w:left="0" w:firstLine="0"/>
        <w:jc w:val="both"/>
        <w:rPr>
          <w:rFonts w:ascii="Palatino Linotype" w:hAnsi="Palatino Linotype"/>
        </w:rPr>
      </w:pPr>
      <w:r>
        <w:rPr>
          <w:rFonts w:ascii="Palatino Linotype" w:hAnsi="Palatino Linotype" w:cs="Arial"/>
        </w:rPr>
        <w:t xml:space="preserve">Transcurrido el plazo señalado en el párrafo anterior y, una vez analizado el estado procesal que guardaba el expediente, en fecha </w:t>
      </w:r>
      <w:r w:rsidR="00C13BF5">
        <w:rPr>
          <w:rFonts w:ascii="Palatino Linotype" w:hAnsi="Palatino Linotype" w:cs="Arial"/>
        </w:rPr>
        <w:t>veinte de junio</w:t>
      </w:r>
      <w:r>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06D8A" w:rsidRDefault="00B06D8A" w:rsidP="00B06D8A">
      <w:pPr>
        <w:pStyle w:val="Prrafodelista"/>
        <w:spacing w:line="360" w:lineRule="auto"/>
        <w:ind w:left="0"/>
        <w:jc w:val="both"/>
        <w:rPr>
          <w:rFonts w:ascii="Palatino Linotype" w:hAnsi="Palatino Linotype"/>
        </w:rPr>
      </w:pPr>
    </w:p>
    <w:p w:rsidR="00B06D8A" w:rsidRDefault="00B06D8A" w:rsidP="00B06D8A">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 xml:space="preserve">En fecha dos de julio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Pr>
          <w:rFonts w:ascii="Palatino Linotype" w:hAnsi="Palatino Linotype" w:cs="Arial"/>
        </w:rPr>
        <w:t>y</w:t>
      </w:r>
    </w:p>
    <w:p w:rsidR="00B06D8A" w:rsidRDefault="00B06D8A" w:rsidP="00B06D8A">
      <w:pPr>
        <w:pStyle w:val="Prrafodelista"/>
        <w:spacing w:line="360" w:lineRule="auto"/>
        <w:ind w:left="0"/>
        <w:jc w:val="both"/>
        <w:rPr>
          <w:rFonts w:ascii="Palatino Linotype" w:hAnsi="Palatino Linotype"/>
        </w:rPr>
      </w:pPr>
    </w:p>
    <w:p w:rsidR="00B06D8A" w:rsidRDefault="00B06D8A" w:rsidP="00B06D8A">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B06D8A" w:rsidRDefault="00B06D8A" w:rsidP="00B06D8A">
      <w:pPr>
        <w:spacing w:line="360" w:lineRule="auto"/>
        <w:jc w:val="center"/>
        <w:rPr>
          <w:rFonts w:ascii="Palatino Linotype" w:hAnsi="Palatino Linotype"/>
          <w:b/>
          <w:bCs/>
          <w:spacing w:val="60"/>
        </w:rPr>
      </w:pPr>
    </w:p>
    <w:p w:rsidR="00B06D8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DF2A9E">
        <w:rPr>
          <w:rFonts w:ascii="Palatino Linotype" w:hAnsi="Palatino Linotype"/>
        </w:rPr>
        <w:t>, vigésimo tercero, vigésimo cuarto</w:t>
      </w:r>
      <w:r>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Default="00B06D8A" w:rsidP="00C13BF5">
      <w:pPr>
        <w:pStyle w:val="Prrafodelista"/>
        <w:widowControl w:val="0"/>
        <w:autoSpaceDE w:val="0"/>
        <w:autoSpaceDN w:val="0"/>
        <w:adjustRightInd w:val="0"/>
        <w:spacing w:line="360" w:lineRule="auto"/>
        <w:ind w:left="0"/>
        <w:jc w:val="both"/>
        <w:rPr>
          <w:rFonts w:ascii="Palatino Linotype" w:hAnsi="Palatino Linotype" w:cs="Arial"/>
        </w:rPr>
      </w:pPr>
    </w:p>
    <w:p w:rsidR="00B06D8A" w:rsidRDefault="00B06D8A" w:rsidP="00C13BF5">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snapToGrid w:val="0"/>
        </w:rPr>
        <w:t xml:space="preserve">, quien es la misma persona que formuló la </w:t>
      </w:r>
      <w:r>
        <w:rPr>
          <w:rFonts w:ascii="Palatino Linotype" w:hAnsi="Palatino Linotype" w:cs="Arial"/>
        </w:rPr>
        <w:t>solicitud</w:t>
      </w:r>
      <w:r>
        <w:rPr>
          <w:rFonts w:ascii="Palatino Linotype" w:hAnsi="Palatino Linotype" w:cs="Arial"/>
          <w:snapToGrid w:val="0"/>
        </w:rPr>
        <w:t xml:space="preserve"> de información pública número </w:t>
      </w:r>
      <w:r w:rsidR="00C13BF5" w:rsidRPr="00C13BF5">
        <w:rPr>
          <w:rFonts w:ascii="Palatino Linotype" w:hAnsi="Palatino Linotype" w:cs="Arial"/>
          <w:b/>
          <w:bCs/>
          <w:snapToGrid w:val="0"/>
        </w:rPr>
        <w:t>00202/NICOROM/IP/2019</w:t>
      </w:r>
      <w:r>
        <w:rPr>
          <w:rFonts w:ascii="Palatino Linotype" w:hAnsi="Palatino Linotype" w:cs="Arial"/>
          <w:b/>
          <w:bCs/>
          <w:snapToGrid w:val="0"/>
        </w:rPr>
        <w:t xml:space="preserve"> </w:t>
      </w:r>
      <w:r>
        <w:rPr>
          <w:rFonts w:ascii="Palatino Linotype" w:hAnsi="Palatino Linotype" w:cs="Arial"/>
          <w:snapToGrid w:val="0"/>
        </w:rPr>
        <w:t>al</w:t>
      </w:r>
      <w:r>
        <w:rPr>
          <w:rFonts w:ascii="Palatino Linotype" w:hAnsi="Palatino Linotype" w:cs="Arial"/>
          <w:b/>
          <w:snapToGrid w:val="0"/>
        </w:rPr>
        <w:t xml:space="preserve"> SUJETO OBLIGADO</w:t>
      </w:r>
      <w:r>
        <w:rPr>
          <w:rFonts w:ascii="Palatino Linotype" w:hAnsi="Palatino Linotype" w:cs="Arial"/>
        </w:rPr>
        <w:t>.</w:t>
      </w:r>
    </w:p>
    <w:p w:rsidR="00B06D8A"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Default="00B06D8A" w:rsidP="00B06D8A">
      <w:pPr>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Default="00B06D8A" w:rsidP="00B06D8A">
      <w:pPr>
        <w:ind w:left="709" w:right="757"/>
        <w:jc w:val="both"/>
        <w:rPr>
          <w:rFonts w:ascii="Palatino Linotype" w:hAnsi="Palatino Linotype" w:cs="Arial"/>
          <w:i/>
          <w:sz w:val="22"/>
        </w:rPr>
      </w:pPr>
    </w:p>
    <w:p w:rsidR="00B06D8A" w:rsidRDefault="00B06D8A" w:rsidP="00B06D8A">
      <w:pPr>
        <w:ind w:left="709" w:right="757"/>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Default="00B06D8A" w:rsidP="00B06D8A">
      <w:pPr>
        <w:ind w:left="709" w:right="757"/>
        <w:jc w:val="both"/>
        <w:rPr>
          <w:rFonts w:ascii="Palatino Linotype" w:hAnsi="Palatino Linotype" w:cs="Arial"/>
          <w:i/>
          <w:sz w:val="22"/>
        </w:rPr>
      </w:pPr>
    </w:p>
    <w:p w:rsidR="00B06D8A" w:rsidRDefault="00B06D8A" w:rsidP="00B06D8A">
      <w:pPr>
        <w:ind w:left="709" w:right="757"/>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B06D8A" w:rsidRDefault="00B06D8A" w:rsidP="00B06D8A">
      <w:pPr>
        <w:spacing w:line="360" w:lineRule="auto"/>
        <w:ind w:left="709" w:right="709"/>
        <w:jc w:val="both"/>
        <w:rPr>
          <w:rFonts w:ascii="Palatino Linotype" w:hAnsi="Palatino Linotype" w:cs="Arial"/>
          <w:i/>
        </w:rPr>
      </w:pPr>
    </w:p>
    <w:p w:rsidR="00B06D8A" w:rsidRDefault="00B06D8A" w:rsidP="00B06D8A">
      <w:pPr>
        <w:spacing w:line="360" w:lineRule="auto"/>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w:t>
      </w:r>
      <w:r w:rsidR="00C13BF5">
        <w:rPr>
          <w:rFonts w:ascii="Palatino Linotype" w:hAnsi="Palatino Linotype" w:cs="Arial"/>
          <w:b/>
        </w:rPr>
        <w:t>nueve de mayo</w:t>
      </w:r>
      <w:r>
        <w:rPr>
          <w:rFonts w:ascii="Palatino Linotype" w:hAnsi="Palatino Linotype" w:cs="Arial"/>
          <w:b/>
        </w:rPr>
        <w:t xml:space="preserve"> de dos mil diecinueve</w:t>
      </w:r>
      <w:r>
        <w:rPr>
          <w:rFonts w:ascii="Palatino Linotype" w:hAnsi="Palatino Linotype" w:cs="Arial"/>
        </w:rPr>
        <w:t xml:space="preserve">; el plazo de quince días hábiles que el artículo 178 de la Ley de la materia otorga a </w:t>
      </w:r>
      <w:r>
        <w:rPr>
          <w:rFonts w:ascii="Palatino Linotype" w:hAnsi="Palatino Linotype" w:cs="Arial"/>
          <w:b/>
        </w:rPr>
        <w:t>EL RECURRENTE</w:t>
      </w:r>
      <w:r>
        <w:rPr>
          <w:rFonts w:ascii="Palatino Linotype" w:hAnsi="Palatino Linotype" w:cs="Arial"/>
        </w:rPr>
        <w:t xml:space="preserve"> para presentar el recurso de revisión, transcurrió del </w:t>
      </w:r>
      <w:r w:rsidR="00C13BF5">
        <w:rPr>
          <w:rFonts w:ascii="Palatino Linotype" w:hAnsi="Palatino Linotype" w:cs="Arial"/>
          <w:b/>
        </w:rPr>
        <w:t>diez</w:t>
      </w:r>
      <w:r>
        <w:rPr>
          <w:rFonts w:ascii="Palatino Linotype" w:hAnsi="Palatino Linotype" w:cs="Arial"/>
          <w:b/>
        </w:rPr>
        <w:t xml:space="preserve"> al treinta de </w:t>
      </w:r>
      <w:r w:rsidR="00C13BF5">
        <w:rPr>
          <w:rFonts w:ascii="Palatino Linotype" w:hAnsi="Palatino Linotype" w:cs="Arial"/>
          <w:b/>
        </w:rPr>
        <w:t>mayo</w:t>
      </w:r>
      <w:r>
        <w:rPr>
          <w:rFonts w:ascii="Palatino Linotype" w:hAnsi="Palatino Linotype" w:cs="Arial"/>
          <w:b/>
        </w:rPr>
        <w:t xml:space="preserve"> de dos mil diecinueve</w:t>
      </w:r>
      <w:r>
        <w:rPr>
          <w:rFonts w:ascii="Palatino Linotype" w:hAnsi="Palatino Linotype" w:cs="Arial"/>
        </w:rPr>
        <w:t xml:space="preserve">, sin contemplar en el cómputo los días </w:t>
      </w:r>
      <w:r w:rsidR="00C13BF5">
        <w:rPr>
          <w:rFonts w:ascii="Palatino Linotype" w:hAnsi="Palatino Linotype" w:cs="Arial"/>
        </w:rPr>
        <w:t xml:space="preserve">once, doce, dieciocho, diecinueve, veinticinco y veintiséis de mayo de </w:t>
      </w:r>
      <w:r>
        <w:rPr>
          <w:rFonts w:ascii="Palatino Linotype" w:hAnsi="Palatino Linotype" w:cs="Arial"/>
        </w:rPr>
        <w:t>dos mil diecinueve, por corresponder a sábados y domingos, en términos del artículo 3, fracción X, de la Ley de Transparencia y Acceso a la Información Pública de</w:t>
      </w:r>
      <w:r w:rsidR="00C13BF5">
        <w:rPr>
          <w:rFonts w:ascii="Palatino Linotype" w:hAnsi="Palatino Linotype" w:cs="Arial"/>
        </w:rPr>
        <w:t>l Estado de México y Municipios</w:t>
      </w:r>
      <w:r>
        <w:rPr>
          <w:rFonts w:ascii="Palatino Linotype" w:hAnsi="Palatino Linotype" w:cs="Arial"/>
        </w:rPr>
        <w:t>.</w:t>
      </w:r>
    </w:p>
    <w:p w:rsidR="00B06D8A" w:rsidRDefault="00B06D8A" w:rsidP="00B06D8A">
      <w:pPr>
        <w:spacing w:line="360" w:lineRule="auto"/>
        <w:jc w:val="both"/>
        <w:rPr>
          <w:rFonts w:ascii="Palatino Linotype" w:hAnsi="Palatino Linotype" w:cs="Arial"/>
        </w:rPr>
      </w:pPr>
    </w:p>
    <w:p w:rsidR="00B06D8A" w:rsidRDefault="00B06D8A" w:rsidP="00B06D8A">
      <w:pPr>
        <w:spacing w:line="360" w:lineRule="auto"/>
        <w:jc w:val="both"/>
        <w:rPr>
          <w:rFonts w:ascii="Palatino Linotype" w:hAnsi="Palatino Linotype" w:cs="Arial"/>
          <w:b/>
          <w:u w:val="single"/>
        </w:rPr>
      </w:pPr>
      <w:r>
        <w:rPr>
          <w:rFonts w:ascii="Palatino Linotype" w:hAnsi="Palatino Linotype" w:cs="Arial"/>
        </w:rPr>
        <w:t>En ese tenor, si el recurso de revisión que nos ocupa, se interpuso el</w:t>
      </w:r>
      <w:r>
        <w:rPr>
          <w:rFonts w:ascii="Palatino Linotype" w:hAnsi="Palatino Linotype" w:cs="Arial"/>
          <w:b/>
        </w:rPr>
        <w:t xml:space="preserve"> </w:t>
      </w:r>
      <w:r w:rsidR="00C13BF5">
        <w:rPr>
          <w:rFonts w:ascii="Palatino Linotype" w:hAnsi="Palatino Linotype" w:cs="Arial"/>
          <w:b/>
          <w:u w:val="single"/>
        </w:rPr>
        <w:t>trece de mayo</w:t>
      </w:r>
      <w:r>
        <w:rPr>
          <w:rFonts w:ascii="Palatino Linotype" w:hAnsi="Palatino Linotype" w:cs="Arial"/>
          <w:b/>
          <w:u w:val="single"/>
        </w:rPr>
        <w:t xml:space="preserve"> de dos mil diecinueve</w:t>
      </w:r>
      <w:r>
        <w:rPr>
          <w:rFonts w:ascii="Palatino Linotype" w:hAnsi="Palatino Linotype" w:cs="Arial"/>
        </w:rPr>
        <w:t>, éste se encuentra dentro de los márgenes temporales previstos en el precepto legal citado en el párrafo anterior y, por tanto, su interposición se considera oportuna.</w:t>
      </w:r>
    </w:p>
    <w:p w:rsidR="00B06D8A"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B06D8A" w:rsidRDefault="00B06D8A" w:rsidP="00B06D8A">
      <w:pPr>
        <w:pStyle w:val="Prrafodelista"/>
        <w:numPr>
          <w:ilvl w:val="0"/>
          <w:numId w:val="4"/>
        </w:numPr>
        <w:spacing w:line="360" w:lineRule="auto"/>
        <w:ind w:left="0" w:firstLine="0"/>
        <w:jc w:val="both"/>
        <w:rPr>
          <w:rFonts w:ascii="Palatino Linotype" w:hAnsi="Palatino Linotype"/>
        </w:rPr>
      </w:pPr>
      <w:r>
        <w:rPr>
          <w:rFonts w:ascii="Palatino Linotype" w:hAnsi="Palatino Linotype" w:cs="Arial"/>
          <w:b/>
        </w:rPr>
        <w:t xml:space="preserve"> Procedibilidad. </w:t>
      </w:r>
      <w:r>
        <w:rPr>
          <w:rFonts w:ascii="Palatino Linotype" w:hAnsi="Palatino Linotype" w:cs="Arial"/>
        </w:rPr>
        <w:t xml:space="preserve">Del análisis efectuado, se advierte que resulta procedente la interposición del recurso y se concluye la acreditación </w:t>
      </w:r>
      <w:r>
        <w:rPr>
          <w:rFonts w:ascii="Palatino Linotype" w:hAnsi="Palatino Linotype" w:cs="Arial"/>
          <w:snapToGrid w:val="0"/>
        </w:rPr>
        <w:t>plena</w:t>
      </w:r>
      <w:r>
        <w:rPr>
          <w:rFonts w:ascii="Palatino Linotype" w:hAnsi="Palatino Linotype" w:cs="Arial"/>
        </w:rPr>
        <w:t xml:space="preserve"> de todos y cada uno de los elementos formales exigidos por el artículo 180 de la Ley de Transparencia y Acceso a la Información</w:t>
      </w:r>
      <w:r>
        <w:rPr>
          <w:rFonts w:ascii="Palatino Linotype" w:hAnsi="Palatino Linotype"/>
        </w:rPr>
        <w:t xml:space="preserve"> Pública del Estado de México y Municipios, en atención a que fue presentado mediante el formato visible en </w:t>
      </w:r>
      <w:r>
        <w:rPr>
          <w:rFonts w:ascii="Palatino Linotype" w:hAnsi="Palatino Linotype"/>
          <w:b/>
        </w:rPr>
        <w:t>EL SAIMEX</w:t>
      </w:r>
      <w:r>
        <w:rPr>
          <w:rFonts w:ascii="Palatino Linotype" w:hAnsi="Palatino Linotype"/>
        </w:rPr>
        <w:t>.</w:t>
      </w:r>
    </w:p>
    <w:p w:rsidR="00B06D8A" w:rsidRDefault="00B06D8A" w:rsidP="00B06D8A">
      <w:pPr>
        <w:pStyle w:val="Prrafodelista"/>
        <w:spacing w:line="360" w:lineRule="auto"/>
        <w:ind w:left="0"/>
        <w:jc w:val="both"/>
        <w:rPr>
          <w:rFonts w:ascii="Palatino Linotype" w:hAnsi="Palatino Linotype"/>
        </w:rPr>
      </w:pPr>
    </w:p>
    <w:p w:rsidR="00B06D8A" w:rsidRDefault="00B06D8A" w:rsidP="00B06D8A">
      <w:pPr>
        <w:pStyle w:val="Prrafodelista"/>
        <w:numPr>
          <w:ilvl w:val="0"/>
          <w:numId w:val="4"/>
        </w:numPr>
        <w:spacing w:line="360" w:lineRule="auto"/>
        <w:ind w:left="0" w:firstLine="0"/>
        <w:jc w:val="both"/>
        <w:rPr>
          <w:rFonts w:ascii="Palatino Linotype" w:hAnsi="Palatino Linotype"/>
        </w:rPr>
      </w:pPr>
      <w:r>
        <w:rPr>
          <w:rFonts w:ascii="Palatino Linotype" w:hAnsi="Palatino Linotype" w:cs="Arial"/>
          <w:b/>
        </w:rPr>
        <w:t>Estudio y resolución del recurso</w:t>
      </w:r>
      <w:r>
        <w:rPr>
          <w:rFonts w:ascii="Palatino Linotype" w:hAnsi="Palatino Linotype" w:cs="Arial"/>
          <w:b/>
          <w:color w:val="000000" w:themeColor="text1"/>
        </w:rPr>
        <w:t xml:space="preserve">. </w:t>
      </w: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eastAsia="Arial Unicode MS" w:hAnsi="Palatino Linotype" w:cs="Arial"/>
        </w:rPr>
        <w:t>se advierte que es procedente</w:t>
      </w:r>
      <w:r w:rsidR="00DF2A9E">
        <w:rPr>
          <w:rFonts w:ascii="Palatino Linotype" w:eastAsia="Arial Unicode MS" w:hAnsi="Palatino Linotype" w:cs="Arial"/>
        </w:rPr>
        <w:t xml:space="preserve"> dar trámite al recurso de revisión a fin de determinar si se</w:t>
      </w:r>
      <w:r>
        <w:rPr>
          <w:rFonts w:ascii="Palatino Linotype" w:eastAsia="Arial Unicode MS" w:hAnsi="Palatino Linotype" w:cs="Arial"/>
        </w:rPr>
        <w:t xml:space="preserve"> actualiza la hipótesis prevista en la fracción </w:t>
      </w:r>
      <w:r w:rsidR="004E28A8">
        <w:rPr>
          <w:rFonts w:ascii="Palatino Linotype" w:eastAsia="Arial Unicode MS" w:hAnsi="Palatino Linotype" w:cs="Arial"/>
        </w:rPr>
        <w:t>V</w:t>
      </w:r>
      <w:r>
        <w:rPr>
          <w:rFonts w:ascii="Palatino Linotype" w:eastAsia="Arial Unicode MS" w:hAnsi="Palatino Linotype" w:cs="Arial"/>
        </w:rPr>
        <w:t>, del artículo 179 de la Ley de la materia, que a la letra dice:</w:t>
      </w:r>
    </w:p>
    <w:p w:rsidR="00B06D8A"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179</w:t>
      </w:r>
      <w:r>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Default="004E28A8" w:rsidP="00B06D8A">
      <w:pPr>
        <w:widowControl w:val="0"/>
        <w:autoSpaceDE w:val="0"/>
        <w:autoSpaceDN w:val="0"/>
        <w:adjustRightInd w:val="0"/>
        <w:ind w:left="709" w:right="757"/>
        <w:jc w:val="both"/>
        <w:rPr>
          <w:rFonts w:ascii="Palatino Linotype" w:eastAsia="Arial Unicode MS" w:hAnsi="Palatino Linotype" w:cs="Arial"/>
          <w:i/>
          <w:sz w:val="22"/>
        </w:rPr>
      </w:pPr>
      <w:r w:rsidRPr="004E28A8">
        <w:rPr>
          <w:rFonts w:ascii="Palatino Linotype" w:eastAsia="Arial Unicode MS" w:hAnsi="Palatino Linotype" w:cs="Arial"/>
          <w:b/>
          <w:i/>
          <w:sz w:val="22"/>
          <w:u w:val="single"/>
        </w:rPr>
        <w:t>V. La entrega de información incompleta;</w:t>
      </w:r>
      <w:r w:rsidR="00B06D8A">
        <w:rPr>
          <w:rFonts w:ascii="Palatino Linotype" w:eastAsia="Arial Unicode MS" w:hAnsi="Palatino Linotype" w:cs="Arial"/>
          <w:i/>
          <w:sz w:val="22"/>
        </w:rPr>
        <w:t>…”</w:t>
      </w:r>
    </w:p>
    <w:p w:rsidR="00B06D8A" w:rsidRDefault="00B06D8A" w:rsidP="00B06D8A">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B06D8A" w:rsidRDefault="00B06D8A" w:rsidP="00B06D8A">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El precepto legal citado establece como supuesto de procedencia del recurso de revisión, cuando </w:t>
      </w:r>
      <w:r>
        <w:rPr>
          <w:rFonts w:ascii="Palatino Linotype" w:eastAsia="Arial Unicode MS" w:hAnsi="Palatino Linotype" w:cs="Arial"/>
          <w:b/>
        </w:rPr>
        <w:t xml:space="preserve">EL SUJETO OBLIGADO </w:t>
      </w:r>
      <w:r w:rsidR="004E28A8">
        <w:rPr>
          <w:rFonts w:ascii="Palatino Linotype" w:eastAsia="Arial Unicode MS" w:hAnsi="Palatino Linotype" w:cs="Arial"/>
        </w:rPr>
        <w:t xml:space="preserve">no colma el derecho de </w:t>
      </w:r>
      <w:r>
        <w:rPr>
          <w:rFonts w:ascii="Palatino Linotype" w:eastAsia="Arial Unicode MS" w:hAnsi="Palatino Linotype" w:cs="Arial"/>
        </w:rPr>
        <w:t xml:space="preserve">acceso a la información </w:t>
      </w:r>
      <w:r w:rsidR="004E28A8">
        <w:rPr>
          <w:rFonts w:ascii="Palatino Linotype" w:eastAsia="Arial Unicode MS" w:hAnsi="Palatino Linotype" w:cs="Arial"/>
        </w:rPr>
        <w:t>del particular en su totalidad, pues de su respuesta atiende de manera parcial el requerimiento que le fue formulado.</w:t>
      </w:r>
    </w:p>
    <w:p w:rsidR="00B06D8A"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Default="00B06D8A" w:rsidP="00B06D8A">
      <w:pPr>
        <w:widowControl w:val="0"/>
        <w:autoSpaceDE w:val="0"/>
        <w:autoSpaceDN w:val="0"/>
        <w:adjustRightInd w:val="0"/>
        <w:spacing w:line="360" w:lineRule="auto"/>
        <w:jc w:val="both"/>
        <w:rPr>
          <w:rFonts w:ascii="Palatino Linotype" w:hAnsi="Palatino Linotype"/>
        </w:rPr>
      </w:pP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es conveniente analizar si la respuesta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por lo que, en primer término debemos recordar que </w:t>
      </w:r>
      <w:r>
        <w:rPr>
          <w:rFonts w:ascii="Palatino Linotype" w:hAnsi="Palatino Linotype" w:cs="Arial"/>
          <w:b/>
        </w:rPr>
        <w:t xml:space="preserve">EL RECURRENTE </w:t>
      </w:r>
      <w:r>
        <w:rPr>
          <w:rFonts w:ascii="Palatino Linotype" w:hAnsi="Palatino Linotype"/>
        </w:rPr>
        <w:t xml:space="preserve">solicitó al </w:t>
      </w:r>
      <w:r>
        <w:rPr>
          <w:rFonts w:ascii="Palatino Linotype" w:hAnsi="Palatino Linotype"/>
          <w:b/>
        </w:rPr>
        <w:t xml:space="preserve">SUJETO OBLIGADO </w:t>
      </w:r>
      <w:r>
        <w:rPr>
          <w:rFonts w:ascii="Palatino Linotype" w:hAnsi="Palatino Linotype"/>
        </w:rPr>
        <w:t xml:space="preserve">lo que a continuación se desagrega: </w:t>
      </w:r>
    </w:p>
    <w:p w:rsidR="00B06D8A" w:rsidRDefault="00B06D8A" w:rsidP="00B06D8A">
      <w:pPr>
        <w:pStyle w:val="Prrafodelista"/>
        <w:spacing w:line="360" w:lineRule="auto"/>
        <w:rPr>
          <w:rFonts w:ascii="Palatino Linotype" w:hAnsi="Palatino Linotype"/>
        </w:rPr>
      </w:pPr>
    </w:p>
    <w:p w:rsidR="004E28A8" w:rsidRDefault="004E28A8" w:rsidP="004E28A8">
      <w:pPr>
        <w:widowControl w:val="0"/>
        <w:autoSpaceDE w:val="0"/>
        <w:autoSpaceDN w:val="0"/>
        <w:adjustRightInd w:val="0"/>
        <w:ind w:left="709" w:right="474"/>
        <w:jc w:val="both"/>
        <w:rPr>
          <w:rFonts w:ascii="Palatino Linotype" w:hAnsi="Palatino Linotype"/>
        </w:rPr>
      </w:pPr>
      <w:r w:rsidRPr="004E28A8">
        <w:rPr>
          <w:rFonts w:ascii="Palatino Linotype" w:hAnsi="Palatino Linotype"/>
        </w:rPr>
        <w:t xml:space="preserve">Padrón de proveedores de bienes y servicios del Ayuntamiento, </w:t>
      </w:r>
      <w:r w:rsidR="00A86480">
        <w:rPr>
          <w:rFonts w:ascii="Palatino Linotype" w:hAnsi="Palatino Linotype"/>
        </w:rPr>
        <w:t>que contenga datos de localización e identificación como lo pueden ser:</w:t>
      </w:r>
    </w:p>
    <w:p w:rsidR="004E28A8" w:rsidRPr="004E28A8" w:rsidRDefault="004E28A8" w:rsidP="004E28A8">
      <w:pPr>
        <w:widowControl w:val="0"/>
        <w:autoSpaceDE w:val="0"/>
        <w:autoSpaceDN w:val="0"/>
        <w:adjustRightInd w:val="0"/>
        <w:ind w:left="709" w:right="474"/>
        <w:jc w:val="both"/>
        <w:rPr>
          <w:rFonts w:ascii="Palatino Linotype" w:hAnsi="Palatino Linotype"/>
        </w:rPr>
      </w:pPr>
    </w:p>
    <w:p w:rsidR="004E28A8" w:rsidRPr="004E28A8" w:rsidRDefault="004E28A8" w:rsidP="004E28A8">
      <w:pPr>
        <w:pStyle w:val="Prrafodelista"/>
        <w:widowControl w:val="0"/>
        <w:numPr>
          <w:ilvl w:val="0"/>
          <w:numId w:val="9"/>
        </w:numPr>
        <w:autoSpaceDE w:val="0"/>
        <w:autoSpaceDN w:val="0"/>
        <w:adjustRightInd w:val="0"/>
        <w:ind w:right="474"/>
        <w:jc w:val="both"/>
        <w:rPr>
          <w:rFonts w:ascii="Palatino Linotype" w:hAnsi="Palatino Linotype"/>
        </w:rPr>
      </w:pPr>
      <w:r w:rsidRPr="004E28A8">
        <w:rPr>
          <w:rFonts w:ascii="Palatino Linotype" w:hAnsi="Palatino Linotype"/>
        </w:rPr>
        <w:t>Denominación</w:t>
      </w:r>
    </w:p>
    <w:p w:rsidR="004E28A8" w:rsidRPr="004E28A8" w:rsidRDefault="004E28A8" w:rsidP="004E28A8">
      <w:pPr>
        <w:pStyle w:val="Prrafodelista"/>
        <w:widowControl w:val="0"/>
        <w:numPr>
          <w:ilvl w:val="0"/>
          <w:numId w:val="9"/>
        </w:numPr>
        <w:autoSpaceDE w:val="0"/>
        <w:autoSpaceDN w:val="0"/>
        <w:adjustRightInd w:val="0"/>
        <w:ind w:right="474"/>
        <w:jc w:val="both"/>
        <w:rPr>
          <w:rFonts w:ascii="Palatino Linotype" w:hAnsi="Palatino Linotype"/>
        </w:rPr>
      </w:pPr>
      <w:r w:rsidRPr="004E28A8">
        <w:rPr>
          <w:rFonts w:ascii="Palatino Linotype" w:hAnsi="Palatino Linotype"/>
        </w:rPr>
        <w:t>Razón social</w:t>
      </w:r>
    </w:p>
    <w:p w:rsidR="004E28A8" w:rsidRPr="004E28A8" w:rsidRDefault="004E28A8" w:rsidP="004E28A8">
      <w:pPr>
        <w:pStyle w:val="Prrafodelista"/>
        <w:widowControl w:val="0"/>
        <w:numPr>
          <w:ilvl w:val="0"/>
          <w:numId w:val="9"/>
        </w:numPr>
        <w:autoSpaceDE w:val="0"/>
        <w:autoSpaceDN w:val="0"/>
        <w:adjustRightInd w:val="0"/>
        <w:ind w:right="474"/>
        <w:jc w:val="both"/>
        <w:rPr>
          <w:rFonts w:ascii="Palatino Linotype" w:hAnsi="Palatino Linotype"/>
        </w:rPr>
      </w:pPr>
      <w:r w:rsidRPr="004E28A8">
        <w:rPr>
          <w:rFonts w:ascii="Palatino Linotype" w:hAnsi="Palatino Linotype"/>
        </w:rPr>
        <w:t>Domicilio</w:t>
      </w:r>
    </w:p>
    <w:p w:rsidR="004E28A8" w:rsidRPr="004E28A8" w:rsidRDefault="004E28A8" w:rsidP="004E28A8">
      <w:pPr>
        <w:pStyle w:val="Prrafodelista"/>
        <w:widowControl w:val="0"/>
        <w:numPr>
          <w:ilvl w:val="0"/>
          <w:numId w:val="9"/>
        </w:numPr>
        <w:autoSpaceDE w:val="0"/>
        <w:autoSpaceDN w:val="0"/>
        <w:adjustRightInd w:val="0"/>
        <w:ind w:right="474"/>
        <w:jc w:val="both"/>
        <w:rPr>
          <w:rFonts w:ascii="Palatino Linotype" w:hAnsi="Palatino Linotype"/>
        </w:rPr>
      </w:pPr>
      <w:r w:rsidRPr="004E28A8">
        <w:rPr>
          <w:rFonts w:ascii="Palatino Linotype" w:hAnsi="Palatino Linotype"/>
        </w:rPr>
        <w:t>Giro</w:t>
      </w:r>
    </w:p>
    <w:p w:rsidR="004E28A8" w:rsidRPr="004E28A8" w:rsidRDefault="004E28A8" w:rsidP="004E28A8">
      <w:pPr>
        <w:pStyle w:val="Prrafodelista"/>
        <w:widowControl w:val="0"/>
        <w:numPr>
          <w:ilvl w:val="0"/>
          <w:numId w:val="9"/>
        </w:numPr>
        <w:autoSpaceDE w:val="0"/>
        <w:autoSpaceDN w:val="0"/>
        <w:adjustRightInd w:val="0"/>
        <w:ind w:right="474"/>
        <w:jc w:val="both"/>
        <w:rPr>
          <w:rFonts w:ascii="Palatino Linotype" w:hAnsi="Palatino Linotype"/>
        </w:rPr>
      </w:pPr>
      <w:r w:rsidRPr="004E28A8">
        <w:rPr>
          <w:rFonts w:ascii="Palatino Linotype" w:hAnsi="Palatino Linotype"/>
        </w:rPr>
        <w:t>Teléfono</w:t>
      </w:r>
    </w:p>
    <w:p w:rsidR="004E28A8" w:rsidRPr="004E28A8" w:rsidRDefault="004E28A8" w:rsidP="004E28A8">
      <w:pPr>
        <w:pStyle w:val="Prrafodelista"/>
        <w:widowControl w:val="0"/>
        <w:numPr>
          <w:ilvl w:val="0"/>
          <w:numId w:val="9"/>
        </w:numPr>
        <w:autoSpaceDE w:val="0"/>
        <w:autoSpaceDN w:val="0"/>
        <w:adjustRightInd w:val="0"/>
        <w:ind w:right="474"/>
        <w:jc w:val="both"/>
        <w:rPr>
          <w:rFonts w:ascii="Palatino Linotype" w:hAnsi="Palatino Linotype"/>
        </w:rPr>
      </w:pPr>
      <w:r w:rsidRPr="004E28A8">
        <w:rPr>
          <w:rFonts w:ascii="Palatino Linotype" w:hAnsi="Palatino Linotype"/>
        </w:rPr>
        <w:t>Correo electrónico</w:t>
      </w:r>
    </w:p>
    <w:p w:rsidR="004E28A8" w:rsidRPr="004E28A8" w:rsidRDefault="004E28A8" w:rsidP="004E28A8">
      <w:pPr>
        <w:pStyle w:val="Prrafodelista"/>
        <w:widowControl w:val="0"/>
        <w:numPr>
          <w:ilvl w:val="0"/>
          <w:numId w:val="9"/>
        </w:numPr>
        <w:autoSpaceDE w:val="0"/>
        <w:autoSpaceDN w:val="0"/>
        <w:adjustRightInd w:val="0"/>
        <w:ind w:right="474"/>
        <w:jc w:val="both"/>
        <w:rPr>
          <w:rFonts w:ascii="Palatino Linotype" w:hAnsi="Palatino Linotype"/>
        </w:rPr>
      </w:pPr>
      <w:r w:rsidRPr="004E28A8">
        <w:rPr>
          <w:rFonts w:ascii="Palatino Linotype" w:hAnsi="Palatino Linotype"/>
        </w:rPr>
        <w:t>Acta constitutiva</w:t>
      </w:r>
    </w:p>
    <w:p w:rsidR="004E28A8" w:rsidRDefault="004E28A8" w:rsidP="00B06D8A">
      <w:pPr>
        <w:widowControl w:val="0"/>
        <w:autoSpaceDE w:val="0"/>
        <w:autoSpaceDN w:val="0"/>
        <w:adjustRightInd w:val="0"/>
        <w:spacing w:line="360" w:lineRule="auto"/>
        <w:ind w:right="757"/>
        <w:jc w:val="both"/>
        <w:rPr>
          <w:rFonts w:ascii="Palatino Linotype" w:hAnsi="Palatino Linotype"/>
          <w:i/>
          <w:sz w:val="22"/>
        </w:rPr>
      </w:pPr>
    </w:p>
    <w:p w:rsidR="006E1201" w:rsidRDefault="00B06D8A" w:rsidP="00314011">
      <w:pPr>
        <w:spacing w:line="360" w:lineRule="auto"/>
        <w:jc w:val="both"/>
        <w:rPr>
          <w:rFonts w:ascii="Palatino Linotype" w:hAnsi="Palatino Linotype" w:cs="Arial"/>
        </w:rPr>
      </w:pPr>
      <w:r>
        <w:rPr>
          <w:rFonts w:ascii="Palatino Linotype" w:hAnsi="Palatino Linotype" w:cs="Arial"/>
        </w:rPr>
        <w:t xml:space="preserve">Precisado lo anterior, y en respuesta a la referida solicitud, </w:t>
      </w:r>
      <w:r>
        <w:rPr>
          <w:rFonts w:ascii="Palatino Linotype" w:hAnsi="Palatino Linotype" w:cs="Arial"/>
          <w:b/>
        </w:rPr>
        <w:t>EL SUJETO OBLIGADO</w:t>
      </w:r>
      <w:r>
        <w:rPr>
          <w:rFonts w:ascii="Palatino Linotype" w:hAnsi="Palatino Linotype" w:cs="Arial"/>
        </w:rPr>
        <w:t xml:space="preserve"> como fue establecido en el resultando II</w:t>
      </w:r>
      <w:r w:rsidR="00FF37C7">
        <w:rPr>
          <w:rFonts w:ascii="Palatino Linotype" w:hAnsi="Palatino Linotype" w:cs="Arial"/>
        </w:rPr>
        <w:t xml:space="preserve">, comunicó que la información requerida </w:t>
      </w:r>
      <w:r>
        <w:rPr>
          <w:rFonts w:ascii="Palatino Linotype" w:hAnsi="Palatino Linotype" w:cs="Arial"/>
        </w:rPr>
        <w:t xml:space="preserve">referente al </w:t>
      </w:r>
      <w:r w:rsidR="00FF37C7">
        <w:rPr>
          <w:rFonts w:ascii="Palatino Linotype" w:hAnsi="Palatino Linotype" w:cs="Arial"/>
        </w:rPr>
        <w:t xml:space="preserve">Padrón de Proveedores se encontraba disponible en el portal de </w:t>
      </w:r>
      <w:r w:rsidR="00DB19D9">
        <w:rPr>
          <w:rFonts w:ascii="Palatino Linotype" w:hAnsi="Palatino Linotype" w:cs="Arial"/>
        </w:rPr>
        <w:t>Información Pública de Oficio Mexiquense</w:t>
      </w:r>
      <w:r w:rsidR="006E1201">
        <w:rPr>
          <w:rFonts w:ascii="Palatino Linotype" w:hAnsi="Palatino Linotype" w:cs="Arial"/>
        </w:rPr>
        <w:t>;</w:t>
      </w:r>
      <w:r w:rsidR="00DB19D9">
        <w:rPr>
          <w:rFonts w:ascii="Palatino Linotype" w:hAnsi="Palatino Linotype" w:cs="Arial"/>
        </w:rPr>
        <w:t xml:space="preserve"> </w:t>
      </w:r>
      <w:r w:rsidR="00B5356E">
        <w:rPr>
          <w:rFonts w:ascii="Palatino Linotype" w:hAnsi="Palatino Linotype" w:cs="Arial"/>
        </w:rPr>
        <w:t>por lo que</w:t>
      </w:r>
      <w:r w:rsidR="006E1201">
        <w:rPr>
          <w:rFonts w:ascii="Palatino Linotype" w:hAnsi="Palatino Linotype" w:cs="Arial"/>
        </w:rPr>
        <w:t xml:space="preserve">, </w:t>
      </w:r>
      <w:r w:rsidR="00B5356E">
        <w:rPr>
          <w:rFonts w:ascii="Palatino Linotype" w:hAnsi="Palatino Linotype" w:cs="Arial"/>
        </w:rPr>
        <w:t>proporcionó la liga electrónica</w:t>
      </w:r>
      <w:r w:rsidR="006E1201">
        <w:rPr>
          <w:rFonts w:ascii="Palatino Linotype" w:hAnsi="Palatino Linotype" w:cs="Arial"/>
        </w:rPr>
        <w:t xml:space="preserve"> </w:t>
      </w:r>
      <w:hyperlink r:id="rId8" w:history="1">
        <w:r w:rsidR="00A86480" w:rsidRPr="006E1201">
          <w:rPr>
            <w:rStyle w:val="Hipervnculo"/>
            <w:rFonts w:ascii="Palatino Linotype" w:hAnsi="Palatino Linotype" w:cs="Arial"/>
            <w:i/>
            <w:sz w:val="22"/>
          </w:rPr>
          <w:t>https://www.ipomex.org.mx/ipo3/lgt/indice/NICOLASROMERO/art_92_xxxvi.web</w:t>
        </w:r>
      </w:hyperlink>
      <w:r w:rsidR="00A86480">
        <w:rPr>
          <w:rFonts w:ascii="Palatino Linotype" w:hAnsi="Palatino Linotype" w:cs="Arial"/>
        </w:rPr>
        <w:t xml:space="preserve">, indicando que ahí podía acceder a la documentación requerida </w:t>
      </w:r>
      <w:r w:rsidR="00314011">
        <w:rPr>
          <w:rFonts w:ascii="Palatino Linotype" w:hAnsi="Palatino Linotype" w:cs="Arial"/>
        </w:rPr>
        <w:t xml:space="preserve">para los ejercicios </w:t>
      </w:r>
      <w:r w:rsidR="006E1201">
        <w:rPr>
          <w:rFonts w:ascii="Palatino Linotype" w:hAnsi="Palatino Linotype" w:cs="Arial"/>
        </w:rPr>
        <w:t>2018 y 2019 respectivamente.</w:t>
      </w:r>
    </w:p>
    <w:p w:rsidR="006E1201" w:rsidRDefault="006E1201" w:rsidP="00314011">
      <w:pPr>
        <w:spacing w:line="360" w:lineRule="auto"/>
        <w:jc w:val="both"/>
        <w:rPr>
          <w:rFonts w:ascii="Palatino Linotype" w:hAnsi="Palatino Linotype" w:cs="Arial"/>
        </w:rPr>
      </w:pPr>
    </w:p>
    <w:p w:rsidR="00B06D8A" w:rsidRDefault="00B06D8A" w:rsidP="00B06D8A">
      <w:pPr>
        <w:widowControl w:val="0"/>
        <w:autoSpaceDE w:val="0"/>
        <w:autoSpaceDN w:val="0"/>
        <w:adjustRightInd w:val="0"/>
        <w:spacing w:line="360" w:lineRule="auto"/>
        <w:jc w:val="both"/>
        <w:rPr>
          <w:rFonts w:ascii="Palatino Linotype" w:hAnsi="Palatino Linotype"/>
          <w:lang w:eastAsia="es-MX"/>
        </w:rPr>
      </w:pPr>
      <w:r>
        <w:rPr>
          <w:rFonts w:ascii="Palatino Linotype" w:hAnsi="Palatino Linotype" w:cs="Arial"/>
        </w:rPr>
        <w:t>Inconforme con dicha respuesta,</w:t>
      </w:r>
      <w:r>
        <w:rPr>
          <w:rFonts w:ascii="Palatino Linotype" w:hAnsi="Palatino Linotype" w:cs="Arial"/>
          <w:b/>
        </w:rPr>
        <w:t xml:space="preserve"> EL RECURRENTE</w:t>
      </w:r>
      <w:r>
        <w:rPr>
          <w:rFonts w:ascii="Palatino Linotype" w:hAnsi="Palatino Linotype" w:cs="Arial"/>
        </w:rPr>
        <w:t xml:space="preserve"> procedió a interponer el presente recurso d</w:t>
      </w:r>
      <w:r w:rsidR="006E1201">
        <w:rPr>
          <w:rFonts w:ascii="Palatino Linotype" w:hAnsi="Palatino Linotype" w:cs="Arial"/>
        </w:rPr>
        <w:t>e revisión, adoleciéndose de la entrega de información incompleta pues a su dicho, no le fueron remitidas las actas constitutivas de los proveedores.</w:t>
      </w:r>
    </w:p>
    <w:p w:rsidR="00B06D8A" w:rsidRDefault="00B06D8A" w:rsidP="00B06D8A">
      <w:pPr>
        <w:tabs>
          <w:tab w:val="left" w:pos="9214"/>
        </w:tabs>
        <w:spacing w:line="360" w:lineRule="auto"/>
        <w:ind w:left="709" w:right="709"/>
        <w:jc w:val="both"/>
        <w:rPr>
          <w:rFonts w:ascii="Palatino Linotype" w:hAnsi="Palatino Linotype"/>
          <w:lang w:eastAsia="es-MX"/>
        </w:rPr>
      </w:pPr>
    </w:p>
    <w:p w:rsidR="00B06D8A" w:rsidRDefault="00B06D8A" w:rsidP="00B06D8A">
      <w:pPr>
        <w:spacing w:line="360" w:lineRule="auto"/>
        <w:jc w:val="both"/>
        <w:rPr>
          <w:rFonts w:ascii="Palatino Linotype" w:hAnsi="Palatino Linotype" w:cs="Arial"/>
          <w:lang w:eastAsia="es-MX"/>
        </w:rPr>
      </w:pPr>
      <w:r>
        <w:rPr>
          <w:rFonts w:ascii="Palatino Linotype" w:hAnsi="Palatino Linotype" w:cs="Arial"/>
          <w:lang w:eastAsia="es-MX"/>
        </w:rPr>
        <w:t xml:space="preserve">Entonces, se advierte que </w:t>
      </w:r>
      <w:r>
        <w:rPr>
          <w:rFonts w:ascii="Palatino Linotype" w:hAnsi="Palatino Linotype" w:cs="Arial"/>
          <w:b/>
          <w:lang w:eastAsia="es-MX"/>
        </w:rPr>
        <w:t>EL RECURRENTE</w:t>
      </w:r>
      <w:r>
        <w:rPr>
          <w:rFonts w:ascii="Palatino Linotype" w:hAnsi="Palatino Linotype" w:cs="Arial"/>
          <w:lang w:eastAsia="es-MX"/>
        </w:rPr>
        <w:t xml:space="preserve"> al haberse manifestado en la interposición del recurso como inconformidad </w:t>
      </w:r>
      <w:r w:rsidR="00E261CD">
        <w:rPr>
          <w:rFonts w:ascii="Palatino Linotype" w:hAnsi="Palatino Linotype" w:cs="Arial"/>
          <w:lang w:eastAsia="es-MX"/>
        </w:rPr>
        <w:t>“</w:t>
      </w:r>
      <w:r w:rsidR="00E261CD" w:rsidRPr="00E261CD">
        <w:rPr>
          <w:rFonts w:ascii="Palatino Linotype" w:hAnsi="Palatino Linotype" w:cs="Arial"/>
          <w:i/>
          <w:lang w:eastAsia="es-MX"/>
        </w:rPr>
        <w:t>Falta de información</w:t>
      </w:r>
      <w:r w:rsidR="00E261CD">
        <w:rPr>
          <w:rFonts w:ascii="Palatino Linotype" w:hAnsi="Palatino Linotype" w:cs="Arial"/>
          <w:lang w:eastAsia="es-MX"/>
        </w:rPr>
        <w:t>”</w:t>
      </w:r>
      <w:r>
        <w:rPr>
          <w:rFonts w:ascii="Palatino Linotype" w:hAnsi="Palatino Linotype" w:cs="Arial"/>
          <w:lang w:eastAsia="es-MX"/>
        </w:rPr>
        <w:t xml:space="preserve">, esta Ponencia considera conveniente entrar al estudio de lo solicitado, a fin de verificar si la respuesta del </w:t>
      </w:r>
      <w:r>
        <w:rPr>
          <w:rFonts w:ascii="Palatino Linotype" w:hAnsi="Palatino Linotype" w:cs="Arial"/>
          <w:b/>
          <w:lang w:eastAsia="es-MX"/>
        </w:rPr>
        <w:t>SUJETO OBLIGADO</w:t>
      </w:r>
      <w:r>
        <w:rPr>
          <w:rFonts w:ascii="Palatino Linotype" w:hAnsi="Palatino Linotype" w:cs="Arial"/>
          <w:lang w:eastAsia="es-MX"/>
        </w:rPr>
        <w:t xml:space="preserve"> efectivamente satisfizo o no, el derecho de acceso a la información pública del</w:t>
      </w:r>
      <w:r>
        <w:rPr>
          <w:rFonts w:ascii="Palatino Linotype" w:hAnsi="Palatino Linotype" w:cs="Arial"/>
          <w:b/>
          <w:lang w:eastAsia="es-MX"/>
        </w:rPr>
        <w:t xml:space="preserve"> RECURRENTE</w:t>
      </w:r>
      <w:r>
        <w:rPr>
          <w:rFonts w:ascii="Palatino Linotype" w:hAnsi="Palatino Linotype" w:cs="Arial"/>
          <w:lang w:eastAsia="es-MX"/>
        </w:rPr>
        <w:t>.</w:t>
      </w:r>
    </w:p>
    <w:p w:rsidR="00B06D8A" w:rsidRDefault="00B06D8A" w:rsidP="00B06D8A">
      <w:pPr>
        <w:spacing w:line="360" w:lineRule="auto"/>
        <w:jc w:val="both"/>
        <w:rPr>
          <w:rFonts w:ascii="Palatino Linotype" w:hAnsi="Palatino Linotype" w:cs="Arial"/>
          <w:lang w:eastAsia="es-MX"/>
        </w:rPr>
      </w:pPr>
    </w:p>
    <w:p w:rsidR="00B06D8A" w:rsidRDefault="00B06D8A" w:rsidP="00B06D8A">
      <w:pPr>
        <w:spacing w:line="360" w:lineRule="auto"/>
        <w:jc w:val="both"/>
        <w:rPr>
          <w:rFonts w:ascii="Palatino Linotype" w:hAnsi="Palatino Linotype"/>
        </w:rPr>
      </w:pPr>
      <w:r>
        <w:rPr>
          <w:rFonts w:ascii="Palatino Linotype" w:hAnsi="Palatino Linotype" w:cs="Arial"/>
        </w:rPr>
        <w:t xml:space="preserve">Establecido lo anterior, esta Ponencia Resolutora advierte que </w:t>
      </w:r>
      <w:r>
        <w:rPr>
          <w:rFonts w:ascii="Palatino Linotype" w:hAnsi="Palatino Linotype"/>
        </w:rPr>
        <w:t xml:space="preserve">resultan </w:t>
      </w:r>
      <w:r w:rsidR="00E261CD" w:rsidRPr="00E261CD">
        <w:rPr>
          <w:rFonts w:ascii="Palatino Linotype" w:hAnsi="Palatino Linotype"/>
          <w:b/>
        </w:rPr>
        <w:t>in</w:t>
      </w:r>
      <w:r>
        <w:rPr>
          <w:rFonts w:ascii="Palatino Linotype" w:hAnsi="Palatino Linotype"/>
          <w:b/>
        </w:rPr>
        <w:t xml:space="preserve">fundadas </w:t>
      </w:r>
      <w:r>
        <w:rPr>
          <w:rFonts w:ascii="Palatino Linotype" w:hAnsi="Palatino Linotype" w:cs="Arial"/>
        </w:rPr>
        <w:t xml:space="preserve">las </w:t>
      </w:r>
      <w:r>
        <w:rPr>
          <w:rFonts w:ascii="Palatino Linotype" w:hAnsi="Palatino Linotype"/>
        </w:rPr>
        <w:t>razones</w:t>
      </w:r>
      <w:r>
        <w:rPr>
          <w:rFonts w:ascii="Palatino Linotype" w:hAnsi="Palatino Linotype" w:cs="Arial"/>
        </w:rPr>
        <w:t xml:space="preserve"> o motivos de </w:t>
      </w:r>
      <w:r>
        <w:rPr>
          <w:rFonts w:ascii="Palatino Linotype" w:hAnsi="Palatino Linotype"/>
        </w:rPr>
        <w:t xml:space="preserve">inconformidad expuestas por </w:t>
      </w:r>
      <w:r>
        <w:rPr>
          <w:rFonts w:ascii="Palatino Linotype" w:hAnsi="Palatino Linotype" w:cs="Arial"/>
          <w:b/>
        </w:rPr>
        <w:t>EL RECURRENTE</w:t>
      </w:r>
      <w:r>
        <w:rPr>
          <w:rFonts w:ascii="Palatino Linotype" w:hAnsi="Palatino Linotype"/>
        </w:rPr>
        <w:t>, de conformidad con los argumentos que a continuación se exponen.</w:t>
      </w:r>
    </w:p>
    <w:p w:rsidR="00B06D8A" w:rsidRDefault="00B06D8A" w:rsidP="00B06D8A">
      <w:pPr>
        <w:spacing w:line="360" w:lineRule="auto"/>
        <w:jc w:val="both"/>
        <w:rPr>
          <w:rFonts w:ascii="Palatino Linotype" w:hAnsi="Palatino Linotype"/>
        </w:rPr>
      </w:pPr>
    </w:p>
    <w:p w:rsidR="00B06D8A" w:rsidRDefault="00B06D8A" w:rsidP="00B06D8A">
      <w:pPr>
        <w:spacing w:line="360" w:lineRule="auto"/>
        <w:jc w:val="both"/>
        <w:rPr>
          <w:rFonts w:ascii="Palatino Linotype" w:hAnsi="Palatino Linotype"/>
        </w:rPr>
      </w:pPr>
      <w:r>
        <w:rPr>
          <w:rFonts w:ascii="Palatino Linotype" w:hAnsi="Palatino Linotype" w:cs="Arial"/>
        </w:rPr>
        <w:t>Precisado ello,</w:t>
      </w:r>
      <w:r>
        <w:rPr>
          <w:rFonts w:ascii="Palatino Linotype" w:hAnsi="Palatino Linotype"/>
        </w:rPr>
        <w:t xml:space="preserve"> se obvia el análisis de la competencia por parte del </w:t>
      </w:r>
      <w:r>
        <w:rPr>
          <w:rFonts w:ascii="Palatino Linotype" w:hAnsi="Palatino Linotype"/>
          <w:b/>
        </w:rPr>
        <w:t>SUJETO OBLIGADO</w:t>
      </w:r>
      <w:r>
        <w:rPr>
          <w:rFonts w:ascii="Palatino Linotype" w:hAnsi="Palatino Linotype"/>
        </w:rPr>
        <w:t xml:space="preserve">, para generar, administrar o poseer la información solicitada en el recurso que nos ocupa, dado que éste ha asumido la misma, en razón de que en su respuesta e Informe Justificado, éste </w:t>
      </w:r>
      <w:r>
        <w:rPr>
          <w:rFonts w:ascii="Palatino Linotype" w:hAnsi="Palatino Linotype" w:cs="Arial"/>
          <w:color w:val="000000"/>
        </w:rPr>
        <w:t xml:space="preserve">se pronunció ante los requerimientos del ciudadano proporcionando </w:t>
      </w:r>
      <w:r w:rsidR="00E261CD">
        <w:rPr>
          <w:rFonts w:ascii="Palatino Linotype" w:hAnsi="Palatino Linotype" w:cs="Arial"/>
          <w:color w:val="000000"/>
        </w:rPr>
        <w:t xml:space="preserve">la liga donde se encontraba la información conforme a lo dispuesto por el </w:t>
      </w:r>
      <w:r w:rsidR="00F1514D">
        <w:rPr>
          <w:rFonts w:ascii="Palatino Linotype" w:hAnsi="Palatino Linotype" w:cs="Arial"/>
          <w:color w:val="000000"/>
        </w:rPr>
        <w:t>artículo 161</w:t>
      </w:r>
      <w:r w:rsidR="00E261CD">
        <w:rPr>
          <w:rFonts w:ascii="Palatino Linotype" w:hAnsi="Palatino Linotype" w:cs="Arial"/>
          <w:color w:val="000000"/>
        </w:rPr>
        <w:t xml:space="preserve"> de la Ley de </w:t>
      </w:r>
      <w:r w:rsidR="00F1514D">
        <w:rPr>
          <w:rFonts w:ascii="Palatino Linotype" w:hAnsi="Palatino Linotype" w:cs="Arial"/>
          <w:color w:val="000000"/>
        </w:rPr>
        <w:t>Transparencia</w:t>
      </w:r>
      <w:r w:rsidR="00E261CD">
        <w:rPr>
          <w:rFonts w:ascii="Palatino Linotype" w:hAnsi="Palatino Linotype" w:cs="Arial"/>
          <w:color w:val="000000"/>
        </w:rPr>
        <w:t xml:space="preserve"> </w:t>
      </w:r>
      <w:r w:rsidR="00F1514D">
        <w:rPr>
          <w:rFonts w:ascii="Palatino Linotype" w:hAnsi="Palatino Linotype" w:cs="Arial"/>
          <w:color w:val="000000"/>
        </w:rPr>
        <w:t xml:space="preserve">y </w:t>
      </w:r>
      <w:r w:rsidR="00E261CD">
        <w:rPr>
          <w:rFonts w:ascii="Palatino Linotype" w:hAnsi="Palatino Linotype" w:cs="Arial"/>
          <w:color w:val="000000"/>
        </w:rPr>
        <w:t xml:space="preserve">Acceso </w:t>
      </w:r>
      <w:r w:rsidR="00F1514D">
        <w:rPr>
          <w:rFonts w:ascii="Palatino Linotype" w:hAnsi="Palatino Linotype" w:cs="Arial"/>
          <w:color w:val="000000"/>
        </w:rPr>
        <w:t xml:space="preserve">a la </w:t>
      </w:r>
      <w:r w:rsidR="00E261CD">
        <w:rPr>
          <w:rFonts w:ascii="Palatino Linotype" w:hAnsi="Palatino Linotype" w:cs="Arial"/>
          <w:color w:val="000000"/>
        </w:rPr>
        <w:t xml:space="preserve">Información </w:t>
      </w:r>
      <w:r w:rsidR="00F1514D">
        <w:rPr>
          <w:rFonts w:ascii="Palatino Linotype" w:hAnsi="Palatino Linotype" w:cs="Arial"/>
          <w:color w:val="000000"/>
        </w:rPr>
        <w:t xml:space="preserve">del </w:t>
      </w:r>
      <w:r w:rsidR="00E261CD">
        <w:rPr>
          <w:rFonts w:ascii="Palatino Linotype" w:hAnsi="Palatino Linotype" w:cs="Arial"/>
          <w:color w:val="000000"/>
        </w:rPr>
        <w:t xml:space="preserve">Estado </w:t>
      </w:r>
      <w:r w:rsidR="00F1514D">
        <w:rPr>
          <w:rFonts w:ascii="Palatino Linotype" w:hAnsi="Palatino Linotype" w:cs="Arial"/>
          <w:color w:val="000000"/>
        </w:rPr>
        <w:t>de México</w:t>
      </w:r>
      <w:r w:rsidR="00E261CD">
        <w:rPr>
          <w:rFonts w:ascii="Palatino Linotype" w:hAnsi="Palatino Linotype" w:cs="Arial"/>
          <w:color w:val="000000"/>
        </w:rPr>
        <w:t xml:space="preserve"> </w:t>
      </w:r>
      <w:r w:rsidR="00F1514D">
        <w:rPr>
          <w:rFonts w:ascii="Palatino Linotype" w:hAnsi="Palatino Linotype" w:cs="Arial"/>
          <w:color w:val="000000"/>
        </w:rPr>
        <w:t xml:space="preserve">y </w:t>
      </w:r>
      <w:r w:rsidR="00E261CD">
        <w:rPr>
          <w:rFonts w:ascii="Palatino Linotype" w:hAnsi="Palatino Linotype" w:cs="Arial"/>
          <w:color w:val="000000"/>
        </w:rPr>
        <w:t>Municipios</w:t>
      </w:r>
      <w:r>
        <w:rPr>
          <w:rFonts w:ascii="Palatino Linotype" w:hAnsi="Palatino Linotype"/>
        </w:rPr>
        <w:t>.</w:t>
      </w:r>
    </w:p>
    <w:p w:rsidR="00F1514D" w:rsidRDefault="00F1514D" w:rsidP="00B06D8A">
      <w:pPr>
        <w:spacing w:line="360" w:lineRule="auto"/>
        <w:jc w:val="both"/>
        <w:rPr>
          <w:rFonts w:ascii="Palatino Linotype" w:hAnsi="Palatino Linotype"/>
        </w:rPr>
      </w:pPr>
    </w:p>
    <w:p w:rsidR="00F1514D" w:rsidRDefault="00F1514D" w:rsidP="00F1514D">
      <w:pPr>
        <w:ind w:left="709" w:right="474"/>
        <w:jc w:val="both"/>
        <w:rPr>
          <w:rFonts w:ascii="Palatino Linotype" w:hAnsi="Palatino Linotype"/>
        </w:rPr>
      </w:pPr>
      <w:r w:rsidRPr="00F1514D">
        <w:rPr>
          <w:rFonts w:ascii="Palatino Linotype" w:hAnsi="Palatino Linotype"/>
          <w:b/>
          <w:i/>
          <w:sz w:val="22"/>
        </w:rPr>
        <w:t>Artículo 161.</w:t>
      </w:r>
      <w:r w:rsidRPr="00F1514D">
        <w:rPr>
          <w:rFonts w:ascii="Palatino Linotype" w:hAnsi="Palatino Linotype"/>
          <w:i/>
          <w:sz w:val="22"/>
        </w:rPr>
        <w:t xml:space="preserve"> </w:t>
      </w:r>
      <w:r w:rsidRPr="00F1514D">
        <w:rPr>
          <w:rFonts w:ascii="Palatino Linotype" w:hAnsi="Palatino Linotype"/>
          <w:b/>
          <w:i/>
          <w:sz w:val="22"/>
        </w:rPr>
        <w:t>Cuando la información requerida por el solicitante ya esté disponible al público en</w:t>
      </w:r>
      <w:r w:rsidRPr="00F1514D">
        <w:rPr>
          <w:rFonts w:ascii="Palatino Linotype" w:hAnsi="Palatino Linotype"/>
          <w:i/>
          <w:sz w:val="22"/>
        </w:rPr>
        <w:t xml:space="preserve"> medios impresos, tales</w:t>
      </w:r>
      <w:r>
        <w:rPr>
          <w:rFonts w:ascii="Palatino Linotype" w:hAnsi="Palatino Linotype"/>
          <w:i/>
          <w:sz w:val="22"/>
        </w:rPr>
        <w:t xml:space="preserve"> </w:t>
      </w:r>
      <w:r w:rsidRPr="00F1514D">
        <w:rPr>
          <w:rFonts w:ascii="Palatino Linotype" w:hAnsi="Palatino Linotype"/>
          <w:i/>
          <w:sz w:val="22"/>
        </w:rPr>
        <w:t xml:space="preserve">como libros, compendios, trípticos, registros públicos, </w:t>
      </w:r>
      <w:r w:rsidRPr="00F1514D">
        <w:rPr>
          <w:rFonts w:ascii="Palatino Linotype" w:hAnsi="Palatino Linotype"/>
          <w:b/>
          <w:i/>
          <w:sz w:val="22"/>
        </w:rPr>
        <w:t>en formatos electrónicos disponibles en Internet</w:t>
      </w:r>
      <w:r w:rsidRPr="00F1514D">
        <w:rPr>
          <w:rFonts w:ascii="Palatino Linotype" w:hAnsi="Palatino Linotype"/>
          <w:i/>
          <w:sz w:val="22"/>
        </w:rPr>
        <w:t xml:space="preserve"> o en cualquier otro</w:t>
      </w:r>
      <w:r>
        <w:rPr>
          <w:rFonts w:ascii="Palatino Linotype" w:hAnsi="Palatino Linotype"/>
          <w:i/>
          <w:sz w:val="22"/>
        </w:rPr>
        <w:t xml:space="preserve"> </w:t>
      </w:r>
      <w:r w:rsidRPr="00F1514D">
        <w:rPr>
          <w:rFonts w:ascii="Palatino Linotype" w:hAnsi="Palatino Linotype"/>
          <w:i/>
          <w:sz w:val="22"/>
        </w:rPr>
        <w:t xml:space="preserve">medio, </w:t>
      </w:r>
      <w:r w:rsidRPr="00F1514D">
        <w:rPr>
          <w:rFonts w:ascii="Palatino Linotype" w:hAnsi="Palatino Linotype"/>
          <w:b/>
          <w:i/>
          <w:sz w:val="22"/>
        </w:rPr>
        <w:t>se le hará saber por el medio requerido por el solicitante la fuente, el lugar y la forma en que puede consultar</w:t>
      </w:r>
      <w:r w:rsidRPr="00F1514D">
        <w:rPr>
          <w:rFonts w:ascii="Palatino Linotype" w:hAnsi="Palatino Linotype"/>
          <w:i/>
          <w:sz w:val="22"/>
        </w:rPr>
        <w:t>,</w:t>
      </w:r>
      <w:r>
        <w:rPr>
          <w:rFonts w:ascii="Palatino Linotype" w:hAnsi="Palatino Linotype"/>
          <w:i/>
          <w:sz w:val="22"/>
        </w:rPr>
        <w:t xml:space="preserve"> </w:t>
      </w:r>
      <w:r w:rsidRPr="00F1514D">
        <w:rPr>
          <w:rFonts w:ascii="Palatino Linotype" w:hAnsi="Palatino Linotype"/>
          <w:i/>
          <w:sz w:val="22"/>
        </w:rPr>
        <w:t xml:space="preserve">reproducir o adquirir dicha información </w:t>
      </w:r>
      <w:r w:rsidRPr="00F1514D">
        <w:rPr>
          <w:rFonts w:ascii="Palatino Linotype" w:hAnsi="Palatino Linotype"/>
          <w:b/>
          <w:i/>
          <w:sz w:val="22"/>
        </w:rPr>
        <w:t>en un plazo no mayor a cinco días hábiles</w:t>
      </w:r>
      <w:r w:rsidRPr="00F1514D">
        <w:rPr>
          <w:rFonts w:ascii="Palatino Linotype" w:hAnsi="Palatino Linotype"/>
          <w:i/>
          <w:sz w:val="22"/>
        </w:rPr>
        <w:t>. La fuente deberá ser precisa y concreta y</w:t>
      </w:r>
      <w:r>
        <w:rPr>
          <w:rFonts w:ascii="Palatino Linotype" w:hAnsi="Palatino Linotype"/>
          <w:i/>
          <w:sz w:val="22"/>
        </w:rPr>
        <w:t xml:space="preserve"> </w:t>
      </w:r>
      <w:r w:rsidRPr="00F1514D">
        <w:rPr>
          <w:rFonts w:ascii="Palatino Linotype" w:hAnsi="Palatino Linotype"/>
          <w:i/>
          <w:sz w:val="22"/>
        </w:rPr>
        <w:t>no debe implicar que el solicitante realice una búsqueda en toda la información que se encuentre disponible.</w:t>
      </w:r>
    </w:p>
    <w:p w:rsidR="00B06D8A" w:rsidRDefault="00B06D8A" w:rsidP="00B06D8A">
      <w:pPr>
        <w:spacing w:line="360" w:lineRule="auto"/>
        <w:jc w:val="both"/>
        <w:rPr>
          <w:rFonts w:ascii="Palatino Linotype" w:hAnsi="Palatino Linotype"/>
        </w:rPr>
      </w:pPr>
    </w:p>
    <w:p w:rsidR="00B06D8A" w:rsidRDefault="00B06D8A" w:rsidP="00B06D8A">
      <w:pPr>
        <w:spacing w:line="360" w:lineRule="auto"/>
        <w:jc w:val="both"/>
        <w:rPr>
          <w:rFonts w:ascii="Palatino Linotype" w:hAnsi="Palatino Linotype"/>
        </w:rPr>
      </w:pPr>
      <w:r>
        <w:rPr>
          <w:rFonts w:ascii="Palatino Linotype" w:hAnsi="Palatino Linotype"/>
        </w:rPr>
        <w:t xml:space="preserve">En efecto, el hecho de que </w:t>
      </w:r>
      <w:r>
        <w:rPr>
          <w:rFonts w:ascii="Palatino Linotype" w:hAnsi="Palatino Linotype"/>
          <w:b/>
        </w:rPr>
        <w:t>EL SUJETO OBLIGADO</w:t>
      </w:r>
      <w:r>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B06D8A" w:rsidRDefault="00B06D8A" w:rsidP="00B06D8A">
      <w:pPr>
        <w:spacing w:line="360" w:lineRule="auto"/>
        <w:jc w:val="both"/>
        <w:rPr>
          <w:rFonts w:ascii="Palatino Linotype" w:hAnsi="Palatino Linotype"/>
        </w:rPr>
      </w:pPr>
    </w:p>
    <w:p w:rsidR="00B06D8A" w:rsidRDefault="00B06D8A" w:rsidP="00B06D8A">
      <w:pPr>
        <w:ind w:left="851" w:right="899"/>
        <w:jc w:val="both"/>
        <w:rPr>
          <w:rFonts w:ascii="Palatino Linotype" w:hAnsi="Palatino Linotype"/>
          <w:i/>
          <w:sz w:val="22"/>
          <w:szCs w:val="22"/>
        </w:rPr>
      </w:pPr>
      <w:r>
        <w:rPr>
          <w:rFonts w:ascii="Palatino Linotype" w:hAnsi="Palatino Linotype"/>
          <w:b/>
          <w:i/>
          <w:sz w:val="22"/>
          <w:szCs w:val="22"/>
        </w:rPr>
        <w:t>“Artículo 12</w:t>
      </w:r>
      <w:r>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B06D8A" w:rsidRDefault="00B06D8A" w:rsidP="00B06D8A">
      <w:pPr>
        <w:ind w:left="851" w:right="899"/>
        <w:jc w:val="both"/>
        <w:rPr>
          <w:rFonts w:ascii="Palatino Linotype" w:hAnsi="Palatino Linotype"/>
          <w:i/>
          <w:sz w:val="22"/>
          <w:szCs w:val="22"/>
        </w:rPr>
      </w:pPr>
    </w:p>
    <w:p w:rsidR="00B06D8A" w:rsidRDefault="00B06D8A" w:rsidP="00B06D8A">
      <w:pPr>
        <w:ind w:left="851" w:right="899"/>
        <w:jc w:val="both"/>
        <w:rPr>
          <w:rFonts w:ascii="Palatino Linotype" w:hAnsi="Palatino Linotype"/>
          <w:b/>
          <w:i/>
          <w:sz w:val="22"/>
          <w:szCs w:val="22"/>
        </w:rPr>
      </w:pPr>
      <w:r>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b/>
          <w:i/>
          <w:sz w:val="22"/>
          <w:szCs w:val="22"/>
        </w:rPr>
        <w:t>”</w:t>
      </w:r>
    </w:p>
    <w:p w:rsidR="00B06D8A" w:rsidRDefault="00B06D8A" w:rsidP="00B06D8A">
      <w:pPr>
        <w:spacing w:line="360" w:lineRule="auto"/>
        <w:ind w:left="851" w:right="899"/>
        <w:jc w:val="both"/>
        <w:rPr>
          <w:rFonts w:ascii="Palatino Linotype" w:hAnsi="Palatino Linotype"/>
          <w:i/>
          <w:sz w:val="22"/>
          <w:szCs w:val="22"/>
        </w:rPr>
      </w:pPr>
    </w:p>
    <w:p w:rsidR="00B06D8A" w:rsidRDefault="00B06D8A" w:rsidP="00B06D8A">
      <w:pPr>
        <w:spacing w:line="360" w:lineRule="auto"/>
        <w:jc w:val="both"/>
        <w:rPr>
          <w:rFonts w:ascii="Palatino Linotype" w:hAnsi="Palatino Linotype"/>
        </w:rPr>
      </w:pPr>
      <w:r>
        <w:rPr>
          <w:rFonts w:ascii="Palatino Linotype" w:hAnsi="Palatino Linotype"/>
        </w:rPr>
        <w:t xml:space="preserve">De hecho,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B06D8A" w:rsidRDefault="00B06D8A" w:rsidP="00B06D8A">
      <w:pPr>
        <w:spacing w:line="360" w:lineRule="auto"/>
        <w:jc w:val="both"/>
        <w:rPr>
          <w:rFonts w:ascii="Palatino Linotype" w:hAnsi="Palatino Linotype"/>
        </w:rPr>
      </w:pPr>
    </w:p>
    <w:p w:rsidR="00F1514D" w:rsidRDefault="00B06D8A" w:rsidP="00B06D8A">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w:t>
      </w:r>
      <w:r w:rsidR="00F1514D">
        <w:rPr>
          <w:rFonts w:ascii="Palatino Linotype" w:hAnsi="Palatino Linotype" w:cs="Arial"/>
          <w:lang w:eastAsia="es-MX"/>
        </w:rPr>
        <w:t>verificar que se puede acceder a la información mediante la liga electrónica proporcionada, siendo así que personal adscrito a esta Ponencia que resuelve obtuvo como resultado al ingresar la liga electrónica lo siguiente:</w:t>
      </w:r>
    </w:p>
    <w:p w:rsidR="00F1514D" w:rsidRDefault="00F1514D" w:rsidP="00B06D8A">
      <w:pPr>
        <w:spacing w:line="360" w:lineRule="auto"/>
        <w:jc w:val="both"/>
        <w:rPr>
          <w:rFonts w:ascii="Palatino Linotype" w:hAnsi="Palatino Linotype" w:cs="Arial"/>
          <w:lang w:eastAsia="es-MX"/>
        </w:rPr>
      </w:pPr>
    </w:p>
    <w:p w:rsidR="00F1514D" w:rsidRDefault="00F1514D" w:rsidP="00B06D8A">
      <w:pPr>
        <w:spacing w:line="360" w:lineRule="auto"/>
        <w:jc w:val="both"/>
        <w:rPr>
          <w:rFonts w:ascii="Palatino Linotype" w:hAnsi="Palatino Linotype" w:cs="Arial"/>
          <w:lang w:eastAsia="es-MX"/>
        </w:rPr>
      </w:pPr>
      <w:r>
        <w:rPr>
          <w:noProof/>
          <w:lang w:eastAsia="es-MX"/>
        </w:rPr>
        <w:drawing>
          <wp:inline distT="0" distB="0" distL="0" distR="0" wp14:anchorId="28911567" wp14:editId="530EF3E7">
            <wp:extent cx="5612130" cy="2455545"/>
            <wp:effectExtent l="0" t="0" r="762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455545"/>
                    </a:xfrm>
                    <a:prstGeom prst="rect">
                      <a:avLst/>
                    </a:prstGeom>
                  </pic:spPr>
                </pic:pic>
              </a:graphicData>
            </a:graphic>
          </wp:inline>
        </w:drawing>
      </w:r>
    </w:p>
    <w:p w:rsidR="00F1514D" w:rsidRDefault="00F1514D" w:rsidP="00B06D8A">
      <w:pPr>
        <w:spacing w:line="360" w:lineRule="auto"/>
        <w:jc w:val="both"/>
        <w:rPr>
          <w:rFonts w:ascii="Palatino Linotype" w:hAnsi="Palatino Linotype" w:cs="Arial"/>
          <w:lang w:eastAsia="es-MX"/>
        </w:rPr>
      </w:pPr>
    </w:p>
    <w:p w:rsidR="00B06D8A" w:rsidRPr="009811DE" w:rsidRDefault="009811DE" w:rsidP="00B06D8A">
      <w:pPr>
        <w:spacing w:line="360" w:lineRule="auto"/>
        <w:jc w:val="both"/>
        <w:rPr>
          <w:rFonts w:ascii="Palatino Linotype" w:hAnsi="Palatino Linotype" w:cs="Arial"/>
          <w:lang w:eastAsia="es-MX"/>
        </w:rPr>
      </w:pPr>
      <w:r>
        <w:rPr>
          <w:rFonts w:ascii="Palatino Linotype" w:hAnsi="Palatino Linotype" w:cs="Arial"/>
          <w:lang w:eastAsia="es-MX"/>
        </w:rPr>
        <w:t xml:space="preserve">Advirtiéndose así, que tal y como lo informó </w:t>
      </w:r>
      <w:r>
        <w:rPr>
          <w:rFonts w:ascii="Palatino Linotype" w:hAnsi="Palatino Linotype" w:cs="Arial"/>
          <w:b/>
          <w:lang w:eastAsia="es-MX"/>
        </w:rPr>
        <w:t xml:space="preserve">EL SUJETO OBLIGADO, </w:t>
      </w:r>
      <w:r>
        <w:rPr>
          <w:rFonts w:ascii="Palatino Linotype" w:hAnsi="Palatino Linotype" w:cs="Arial"/>
          <w:lang w:eastAsia="es-MX"/>
        </w:rPr>
        <w:t xml:space="preserve">es posible acceder </w:t>
      </w:r>
      <w:r w:rsidRPr="009811DE">
        <w:rPr>
          <w:rFonts w:ascii="Palatino Linotype" w:hAnsi="Palatino Linotype" w:cs="Arial"/>
          <w:lang w:eastAsia="es-MX"/>
        </w:rPr>
        <w:t xml:space="preserve"> </w:t>
      </w:r>
      <w:r>
        <w:rPr>
          <w:rFonts w:ascii="Palatino Linotype" w:hAnsi="Palatino Linotype" w:cs="Arial"/>
          <w:lang w:eastAsia="es-MX"/>
        </w:rPr>
        <w:t xml:space="preserve">al padrón de proveedores para los ejercicios </w:t>
      </w:r>
      <w:r w:rsidRPr="009811DE">
        <w:rPr>
          <w:rFonts w:ascii="Palatino Linotype" w:hAnsi="Palatino Linotype" w:cs="Arial"/>
          <w:lang w:eastAsia="es-MX"/>
        </w:rPr>
        <w:t>2018 o 2019</w:t>
      </w:r>
      <w:r>
        <w:rPr>
          <w:rFonts w:ascii="Palatino Linotype" w:hAnsi="Palatino Linotype" w:cs="Arial"/>
          <w:lang w:eastAsia="es-MX"/>
        </w:rPr>
        <w:t xml:space="preserve"> sin que </w:t>
      </w:r>
      <w:r w:rsidRPr="009811DE">
        <w:rPr>
          <w:rFonts w:ascii="Palatino Linotype" w:hAnsi="Palatino Linotype" w:cs="Arial"/>
          <w:lang w:eastAsia="es-MX"/>
        </w:rPr>
        <w:t>impli</w:t>
      </w:r>
      <w:r>
        <w:rPr>
          <w:rFonts w:ascii="Palatino Linotype" w:hAnsi="Palatino Linotype" w:cs="Arial"/>
          <w:lang w:eastAsia="es-MX"/>
        </w:rPr>
        <w:t>que</w:t>
      </w:r>
      <w:r w:rsidRPr="009811DE">
        <w:rPr>
          <w:rFonts w:ascii="Palatino Linotype" w:hAnsi="Palatino Linotype" w:cs="Arial"/>
          <w:lang w:eastAsia="es-MX"/>
        </w:rPr>
        <w:t xml:space="preserve"> que el solicitante realice una búsqueda en toda la información que se encuentre disponible.</w:t>
      </w:r>
    </w:p>
    <w:p w:rsidR="00B06D8A" w:rsidRDefault="00B06D8A" w:rsidP="00B06D8A">
      <w:pPr>
        <w:spacing w:line="360" w:lineRule="auto"/>
        <w:jc w:val="both"/>
        <w:rPr>
          <w:rFonts w:ascii="Palatino Linotype" w:hAnsi="Palatino Linotype" w:cs="Arial"/>
          <w:lang w:eastAsia="es-MX"/>
        </w:rPr>
      </w:pPr>
    </w:p>
    <w:p w:rsidR="00AE5653" w:rsidRDefault="00AE5653" w:rsidP="00AE5653">
      <w:pPr>
        <w:spacing w:line="360" w:lineRule="auto"/>
        <w:jc w:val="both"/>
        <w:rPr>
          <w:rFonts w:ascii="Palatino Linotype" w:hAnsi="Palatino Linotype" w:cs="Arial"/>
        </w:rPr>
      </w:pPr>
      <w:r>
        <w:rPr>
          <w:rFonts w:ascii="Palatino Linotype" w:hAnsi="Palatino Linotype" w:cs="Arial"/>
        </w:rPr>
        <w:t xml:space="preserve">Ahora, cabe resaltar si la información proporcionada cumple con los requisitos de Ley y colman la solicitud del particular; por lo que debemos remitirnos a los Lineamientos </w:t>
      </w:r>
      <w:r w:rsidRPr="00AE5653">
        <w:rPr>
          <w:rFonts w:ascii="Palatino Linotype" w:hAnsi="Palatino Linotype" w:cs="Arial"/>
        </w:rPr>
        <w:t>Técnicos Generales para la publicación, homologación y</w:t>
      </w:r>
      <w:r>
        <w:rPr>
          <w:rFonts w:ascii="Palatino Linotype" w:hAnsi="Palatino Linotype" w:cs="Arial"/>
        </w:rPr>
        <w:t xml:space="preserve"> </w:t>
      </w:r>
      <w:r w:rsidRPr="00AE5653">
        <w:rPr>
          <w:rFonts w:ascii="Palatino Linotype" w:hAnsi="Palatino Linotype" w:cs="Arial"/>
        </w:rPr>
        <w:t>estandarización de la información de las obligaciones</w:t>
      </w:r>
      <w:r>
        <w:rPr>
          <w:rFonts w:ascii="Palatino Linotype" w:hAnsi="Palatino Linotype" w:cs="Arial"/>
        </w:rPr>
        <w:t xml:space="preserve"> </w:t>
      </w:r>
      <w:r w:rsidRPr="00AE5653">
        <w:rPr>
          <w:rFonts w:ascii="Palatino Linotype" w:hAnsi="Palatino Linotype" w:cs="Arial"/>
        </w:rPr>
        <w:t>establecidas en el Título Quinto y en la fracción I</w:t>
      </w:r>
      <w:r>
        <w:rPr>
          <w:rFonts w:ascii="Palatino Linotype" w:hAnsi="Palatino Linotype" w:cs="Arial"/>
        </w:rPr>
        <w:t>V</w:t>
      </w:r>
      <w:r w:rsidRPr="00AE5653">
        <w:rPr>
          <w:rFonts w:ascii="Palatino Linotype" w:hAnsi="Palatino Linotype" w:cs="Arial"/>
        </w:rPr>
        <w:t xml:space="preserve"> del artículo</w:t>
      </w:r>
      <w:r>
        <w:rPr>
          <w:rFonts w:ascii="Palatino Linotype" w:hAnsi="Palatino Linotype" w:cs="Arial"/>
        </w:rPr>
        <w:t xml:space="preserve"> </w:t>
      </w:r>
      <w:r w:rsidRPr="00AE5653">
        <w:rPr>
          <w:rFonts w:ascii="Palatino Linotype" w:hAnsi="Palatino Linotype" w:cs="Arial"/>
        </w:rPr>
        <w:t>31 de la Ley General de Transparencia y Acceso a la Información</w:t>
      </w:r>
      <w:r>
        <w:rPr>
          <w:rFonts w:ascii="Palatino Linotype" w:hAnsi="Palatino Linotype" w:cs="Arial"/>
        </w:rPr>
        <w:t xml:space="preserve"> </w:t>
      </w:r>
      <w:r w:rsidRPr="00AE5653">
        <w:rPr>
          <w:rFonts w:ascii="Palatino Linotype" w:hAnsi="Palatino Linotype" w:cs="Arial"/>
        </w:rPr>
        <w:t>Pública, que deben de difundir los Sujetos Obligados en los</w:t>
      </w:r>
      <w:r>
        <w:rPr>
          <w:rFonts w:ascii="Palatino Linotype" w:hAnsi="Palatino Linotype" w:cs="Arial"/>
        </w:rPr>
        <w:t xml:space="preserve"> p</w:t>
      </w:r>
      <w:r w:rsidRPr="00AE5653">
        <w:rPr>
          <w:rFonts w:ascii="Palatino Linotype" w:hAnsi="Palatino Linotype" w:cs="Arial"/>
        </w:rPr>
        <w:t>ortales de internet y en la Plataforma Nacional de</w:t>
      </w:r>
      <w:r>
        <w:rPr>
          <w:rFonts w:ascii="Palatino Linotype" w:hAnsi="Palatino Linotype" w:cs="Arial"/>
        </w:rPr>
        <w:t xml:space="preserve"> </w:t>
      </w:r>
      <w:r w:rsidRPr="00AE5653">
        <w:rPr>
          <w:rFonts w:ascii="Palatino Linotype" w:hAnsi="Palatino Linotype" w:cs="Arial"/>
        </w:rPr>
        <w:t>Transparencia</w:t>
      </w:r>
      <w:r>
        <w:rPr>
          <w:rFonts w:ascii="Palatino Linotype" w:hAnsi="Palatino Linotype" w:cs="Arial"/>
        </w:rPr>
        <w:t xml:space="preserve"> que al respecto señalan:</w:t>
      </w:r>
    </w:p>
    <w:p w:rsidR="00AE5653" w:rsidRDefault="00AE5653" w:rsidP="00AE5653">
      <w:pPr>
        <w:spacing w:line="360" w:lineRule="auto"/>
        <w:jc w:val="both"/>
        <w:rPr>
          <w:rFonts w:ascii="Palatino Linotype" w:hAnsi="Palatino Linotype" w:cs="Arial"/>
        </w:rPr>
      </w:pPr>
    </w:p>
    <w:p w:rsidR="00AE5653" w:rsidRPr="00AE5653" w:rsidRDefault="00AE5653" w:rsidP="00AE5653">
      <w:pPr>
        <w:ind w:left="709" w:right="474"/>
        <w:jc w:val="both"/>
        <w:rPr>
          <w:rFonts w:ascii="Palatino Linotype" w:hAnsi="Palatino Linotype" w:cs="Arial"/>
          <w:b/>
          <w:i/>
          <w:sz w:val="22"/>
        </w:rPr>
      </w:pPr>
      <w:r w:rsidRPr="00AE5653">
        <w:rPr>
          <w:rFonts w:ascii="Palatino Linotype" w:hAnsi="Palatino Linotype" w:cs="Arial"/>
          <w:b/>
          <w:i/>
          <w:sz w:val="22"/>
        </w:rPr>
        <w:t>XXXII. Padrón de proveedores y contratistas</w:t>
      </w:r>
    </w:p>
    <w:p w:rsidR="00AE5653" w:rsidRPr="00AE5653" w:rsidRDefault="00AE5653" w:rsidP="00AE5653">
      <w:pPr>
        <w:ind w:left="709" w:right="474"/>
        <w:jc w:val="both"/>
        <w:rPr>
          <w:rFonts w:ascii="Palatino Linotype" w:hAnsi="Palatino Linotype" w:cs="Arial"/>
          <w:b/>
          <w:i/>
          <w:sz w:val="22"/>
        </w:rPr>
      </w:pPr>
    </w:p>
    <w:p w:rsidR="00AE5653" w:rsidRPr="00AE5653" w:rsidRDefault="00AE5653" w:rsidP="00AE5653">
      <w:pPr>
        <w:ind w:left="709" w:right="474"/>
        <w:jc w:val="both"/>
        <w:rPr>
          <w:rFonts w:ascii="Palatino Linotype" w:hAnsi="Palatino Linotype" w:cs="Arial"/>
          <w:i/>
          <w:sz w:val="22"/>
        </w:rPr>
      </w:pPr>
      <w:r w:rsidRPr="00AE5653">
        <w:rPr>
          <w:rFonts w:ascii="Palatino Linotype" w:hAnsi="Palatino Linotype" w:cs="Arial"/>
          <w:i/>
          <w:sz w:val="22"/>
        </w:rPr>
        <w:t>En cumplimiento a la presente fracción, los sujetos obligados deberán publicar un padrón con información relativa a las personas físicas y morales con las que celebren contratos de adquisiciones, arrendamientos, servicios, obras públicas y/o servicios relacionados con las mismas, que deberá actualizarse por lo menos cada tres meses.</w:t>
      </w:r>
    </w:p>
    <w:p w:rsidR="00AE5653" w:rsidRPr="00AE5653" w:rsidRDefault="00AE5653" w:rsidP="00AE5653">
      <w:pPr>
        <w:ind w:left="709" w:right="474"/>
        <w:jc w:val="both"/>
        <w:rPr>
          <w:rFonts w:ascii="Palatino Linotype" w:hAnsi="Palatino Linotype" w:cs="Arial"/>
          <w:i/>
          <w:sz w:val="22"/>
        </w:rPr>
      </w:pPr>
    </w:p>
    <w:p w:rsidR="00AE5653" w:rsidRPr="00AE5653" w:rsidRDefault="00AE5653" w:rsidP="00AE5653">
      <w:pPr>
        <w:ind w:left="709" w:right="474"/>
        <w:jc w:val="both"/>
        <w:rPr>
          <w:rFonts w:ascii="Palatino Linotype" w:hAnsi="Palatino Linotype" w:cs="Arial"/>
          <w:i/>
          <w:sz w:val="22"/>
        </w:rPr>
      </w:pPr>
      <w:r w:rsidRPr="00AE5653">
        <w:rPr>
          <w:rFonts w:ascii="Palatino Linotype" w:hAnsi="Palatino Linotype" w:cs="Arial"/>
          <w:i/>
          <w:sz w:val="22"/>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rsidR="00AE5653" w:rsidRPr="00AE5653" w:rsidRDefault="00AE5653" w:rsidP="00AE5653">
      <w:pPr>
        <w:ind w:left="709" w:right="474"/>
        <w:jc w:val="both"/>
        <w:rPr>
          <w:rFonts w:ascii="Palatino Linotype" w:hAnsi="Palatino Linotype" w:cs="Arial"/>
          <w:i/>
          <w:sz w:val="22"/>
        </w:rPr>
      </w:pPr>
    </w:p>
    <w:p w:rsidR="00AE5653" w:rsidRPr="00AE5653" w:rsidRDefault="00AE5653" w:rsidP="00AE5653">
      <w:pPr>
        <w:ind w:left="709" w:right="474"/>
        <w:jc w:val="both"/>
        <w:rPr>
          <w:rFonts w:ascii="Palatino Linotype" w:hAnsi="Palatino Linotype" w:cs="Arial"/>
          <w:i/>
          <w:sz w:val="22"/>
        </w:rPr>
      </w:pPr>
      <w:r w:rsidRPr="00AE5653">
        <w:rPr>
          <w:rFonts w:ascii="Palatino Linotype" w:hAnsi="Palatino Linotype" w:cs="Arial"/>
          <w:i/>
          <w:sz w:val="22"/>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rsidR="00AE5653" w:rsidRDefault="00AE5653" w:rsidP="00B06D8A">
      <w:pPr>
        <w:spacing w:line="360" w:lineRule="auto"/>
        <w:jc w:val="both"/>
        <w:rPr>
          <w:rFonts w:ascii="Palatino Linotype" w:hAnsi="Palatino Linotype" w:cs="Arial"/>
        </w:rPr>
      </w:pPr>
    </w:p>
    <w:p w:rsidR="004D7E87" w:rsidRPr="004D7E87" w:rsidRDefault="00AE5653" w:rsidP="004D7E87">
      <w:pPr>
        <w:ind w:left="709" w:right="474"/>
        <w:jc w:val="both"/>
        <w:rPr>
          <w:rFonts w:ascii="Palatino Linotype" w:hAnsi="Palatino Linotype" w:cs="Arial"/>
          <w:b/>
          <w:i/>
          <w:sz w:val="22"/>
        </w:rPr>
      </w:pPr>
      <w:r w:rsidRPr="004D7E87">
        <w:rPr>
          <w:rFonts w:ascii="Palatino Linotype" w:hAnsi="Palatino Linotype" w:cs="Arial"/>
          <w:b/>
          <w:i/>
          <w:sz w:val="22"/>
        </w:rPr>
        <w:t>Criterios sustantivos de contenido</w:t>
      </w:r>
      <w:r w:rsidR="004D7E87" w:rsidRPr="004D7E87">
        <w:rPr>
          <w:rFonts w:ascii="Palatino Linotype" w:hAnsi="Palatino Linotype" w:cs="Arial"/>
          <w:b/>
          <w:i/>
          <w:sz w:val="22"/>
        </w:rPr>
        <w:t xml:space="preserve"> </w:t>
      </w:r>
    </w:p>
    <w:p w:rsidR="004D7E87" w:rsidRDefault="004D7E87" w:rsidP="004D7E87">
      <w:pPr>
        <w:ind w:left="709" w:right="474"/>
        <w:jc w:val="both"/>
        <w:rPr>
          <w:rFonts w:ascii="Palatino Linotype" w:hAnsi="Palatino Linotype" w:cs="Arial"/>
          <w:b/>
          <w:i/>
          <w:sz w:val="22"/>
        </w:rPr>
      </w:pP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w:t>
      </w:r>
      <w:r w:rsidRPr="004D7E87">
        <w:rPr>
          <w:rFonts w:ascii="Palatino Linotype" w:hAnsi="Palatino Linotype" w:cs="Arial"/>
          <w:i/>
          <w:sz w:val="22"/>
        </w:rPr>
        <w:t xml:space="preserve"> Ejercicio</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w:t>
      </w:r>
      <w:r w:rsidRPr="004D7E87">
        <w:rPr>
          <w:rFonts w:ascii="Palatino Linotype" w:hAnsi="Palatino Linotype" w:cs="Arial"/>
          <w:i/>
          <w:sz w:val="22"/>
        </w:rPr>
        <w:t xml:space="preserve"> Periodo que se informa (fecha de inicio y </w:t>
      </w:r>
      <w:r w:rsidR="004D7E87" w:rsidRPr="004D7E87">
        <w:rPr>
          <w:rFonts w:ascii="Palatino Linotype" w:hAnsi="Palatino Linotype" w:cs="Arial"/>
          <w:i/>
          <w:sz w:val="22"/>
        </w:rPr>
        <w:t xml:space="preserve">fecha de término con el formato </w:t>
      </w:r>
      <w:r w:rsidRPr="004D7E87">
        <w:rPr>
          <w:rFonts w:ascii="Palatino Linotype" w:hAnsi="Palatino Linotype" w:cs="Arial"/>
          <w:i/>
          <w:sz w:val="22"/>
        </w:rPr>
        <w:t>día/mes/año)</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3</w:t>
      </w:r>
      <w:r w:rsidRPr="004D7E87">
        <w:rPr>
          <w:rFonts w:ascii="Palatino Linotype" w:hAnsi="Palatino Linotype" w:cs="Arial"/>
          <w:i/>
          <w:sz w:val="22"/>
        </w:rPr>
        <w:t xml:space="preserve"> Personería jurídica del proveedor o </w:t>
      </w:r>
      <w:r w:rsidR="004D7E87" w:rsidRPr="004D7E87">
        <w:rPr>
          <w:rFonts w:ascii="Palatino Linotype" w:hAnsi="Palatino Linotype" w:cs="Arial"/>
          <w:i/>
          <w:sz w:val="22"/>
        </w:rPr>
        <w:t>contratista (catálogo): Persona física/Persona moral</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4</w:t>
      </w:r>
      <w:r w:rsidRPr="004D7E87">
        <w:rPr>
          <w:rFonts w:ascii="Palatino Linotype" w:hAnsi="Palatino Linotype" w:cs="Arial"/>
          <w:i/>
          <w:sz w:val="22"/>
        </w:rPr>
        <w:t xml:space="preserve"> Nombre (nombre[s], primer apellido, segundo </w:t>
      </w:r>
      <w:r w:rsidR="004D7E87" w:rsidRPr="004D7E87">
        <w:rPr>
          <w:rFonts w:ascii="Palatino Linotype" w:hAnsi="Palatino Linotype" w:cs="Arial"/>
          <w:i/>
          <w:sz w:val="22"/>
        </w:rPr>
        <w:t xml:space="preserve">apellido), denominación o razón </w:t>
      </w:r>
      <w:r w:rsidRPr="004D7E87">
        <w:rPr>
          <w:rFonts w:ascii="Palatino Linotype" w:hAnsi="Palatino Linotype" w:cs="Arial"/>
          <w:i/>
          <w:sz w:val="22"/>
        </w:rPr>
        <w:t>socia</w:t>
      </w:r>
      <w:r w:rsidR="004D7E87" w:rsidRPr="004D7E87">
        <w:rPr>
          <w:rFonts w:ascii="Palatino Linotype" w:hAnsi="Palatino Linotype" w:cs="Arial"/>
          <w:i/>
          <w:sz w:val="22"/>
        </w:rPr>
        <w:t>l del proveedor o contratista.</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5</w:t>
      </w:r>
      <w:r w:rsidRPr="004D7E87">
        <w:rPr>
          <w:rFonts w:ascii="Palatino Linotype" w:hAnsi="Palatino Linotype" w:cs="Arial"/>
          <w:i/>
          <w:sz w:val="22"/>
        </w:rPr>
        <w:t xml:space="preserve"> Estratificación, por ejemplo, Micro em</w:t>
      </w:r>
      <w:r w:rsidR="004D7E87" w:rsidRPr="004D7E87">
        <w:rPr>
          <w:rFonts w:ascii="Palatino Linotype" w:hAnsi="Palatino Linotype" w:cs="Arial"/>
          <w:i/>
          <w:sz w:val="22"/>
        </w:rPr>
        <w:t xml:space="preserve">presa, pequeña empresa, mediana </w:t>
      </w:r>
      <w:r w:rsidRPr="004D7E87">
        <w:rPr>
          <w:rFonts w:ascii="Palatino Linotype" w:hAnsi="Palatino Linotype" w:cs="Arial"/>
          <w:i/>
          <w:sz w:val="22"/>
        </w:rPr>
        <w:t>empresa</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6</w:t>
      </w:r>
      <w:r w:rsidRPr="004D7E87">
        <w:rPr>
          <w:rFonts w:ascii="Palatino Linotype" w:hAnsi="Palatino Linotype" w:cs="Arial"/>
          <w:i/>
          <w:sz w:val="22"/>
        </w:rPr>
        <w:t xml:space="preserve"> Origen del proveedor o contratista (catálogo): Nacional/Extranjero</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7</w:t>
      </w:r>
      <w:r w:rsidRPr="004D7E87">
        <w:rPr>
          <w:rFonts w:ascii="Palatino Linotype" w:hAnsi="Palatino Linotype" w:cs="Arial"/>
          <w:i/>
          <w:sz w:val="22"/>
        </w:rPr>
        <w:t xml:space="preserve"> Entidad federativa (catálogo de entidade</w:t>
      </w:r>
      <w:r w:rsidR="004D7E87" w:rsidRPr="004D7E87">
        <w:rPr>
          <w:rFonts w:ascii="Palatino Linotype" w:hAnsi="Palatino Linotype" w:cs="Arial"/>
          <w:i/>
          <w:sz w:val="22"/>
        </w:rPr>
        <w:t xml:space="preserve">s federativas) si la empresa es </w:t>
      </w:r>
      <w:r w:rsidRPr="004D7E87">
        <w:rPr>
          <w:rFonts w:ascii="Palatino Linotype" w:hAnsi="Palatino Linotype" w:cs="Arial"/>
          <w:i/>
          <w:sz w:val="22"/>
        </w:rPr>
        <w:t>nacional</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w:t>
      </w:r>
      <w:r w:rsidRPr="004D7E87">
        <w:rPr>
          <w:rFonts w:ascii="Palatino Linotype" w:hAnsi="Palatino Linotype" w:cs="Arial"/>
          <w:i/>
          <w:sz w:val="22"/>
        </w:rPr>
        <w:t xml:space="preserve"> </w:t>
      </w:r>
      <w:r w:rsidRPr="004D7E87">
        <w:rPr>
          <w:rFonts w:ascii="Palatino Linotype" w:hAnsi="Palatino Linotype" w:cs="Arial"/>
          <w:b/>
          <w:i/>
          <w:sz w:val="22"/>
        </w:rPr>
        <w:t>8</w:t>
      </w:r>
      <w:r w:rsidRPr="004D7E87">
        <w:rPr>
          <w:rFonts w:ascii="Palatino Linotype" w:hAnsi="Palatino Linotype" w:cs="Arial"/>
          <w:i/>
          <w:sz w:val="22"/>
        </w:rPr>
        <w:t xml:space="preserve"> País de origen si la empresa es una filial extranjera</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9</w:t>
      </w:r>
      <w:r w:rsidRPr="004D7E87">
        <w:rPr>
          <w:rFonts w:ascii="Palatino Linotype" w:hAnsi="Palatino Linotype" w:cs="Arial"/>
          <w:i/>
          <w:sz w:val="22"/>
        </w:rPr>
        <w:t xml:space="preserve"> Registro Federal de Contribuyentes (RFC) d</w:t>
      </w:r>
      <w:r w:rsidR="004D7E87" w:rsidRPr="004D7E87">
        <w:rPr>
          <w:rFonts w:ascii="Palatino Linotype" w:hAnsi="Palatino Linotype" w:cs="Arial"/>
          <w:i/>
          <w:sz w:val="22"/>
        </w:rPr>
        <w:t xml:space="preserve">e la persona física o moral con </w:t>
      </w:r>
      <w:r w:rsidRPr="004D7E87">
        <w:rPr>
          <w:rFonts w:ascii="Palatino Linotype" w:hAnsi="Palatino Linotype" w:cs="Arial"/>
          <w:i/>
          <w:sz w:val="22"/>
        </w:rPr>
        <w:t>homoclave incluida, emitido por el Servicio de A</w:t>
      </w:r>
      <w:r w:rsidR="004D7E87" w:rsidRPr="004D7E87">
        <w:rPr>
          <w:rFonts w:ascii="Palatino Linotype" w:hAnsi="Palatino Linotype" w:cs="Arial"/>
          <w:i/>
          <w:sz w:val="22"/>
        </w:rPr>
        <w:t xml:space="preserve">dministración Tributaria (SAT). </w:t>
      </w:r>
      <w:r w:rsidRPr="004D7E87">
        <w:rPr>
          <w:rFonts w:ascii="Palatino Linotype" w:hAnsi="Palatino Linotype" w:cs="Arial"/>
          <w:i/>
          <w:sz w:val="22"/>
        </w:rPr>
        <w:t>En el caso de personas morales son 12 caracteres y en el de personas físicas</w:t>
      </w:r>
      <w:r w:rsidR="004D7E87" w:rsidRPr="004D7E87">
        <w:rPr>
          <w:rFonts w:ascii="Palatino Linotype" w:hAnsi="Palatino Linotype" w:cs="Arial"/>
          <w:i/>
          <w:sz w:val="22"/>
        </w:rPr>
        <w:t xml:space="preserve"> </w:t>
      </w:r>
      <w:r w:rsidRPr="004D7E87">
        <w:rPr>
          <w:rFonts w:ascii="Palatino Linotype" w:hAnsi="Palatino Linotype" w:cs="Arial"/>
          <w:i/>
          <w:sz w:val="22"/>
        </w:rPr>
        <w:t>13.</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10</w:t>
      </w:r>
      <w:r w:rsidRPr="004D7E87">
        <w:rPr>
          <w:rFonts w:ascii="Palatino Linotype" w:hAnsi="Palatino Linotype" w:cs="Arial"/>
          <w:i/>
          <w:sz w:val="22"/>
        </w:rPr>
        <w:t xml:space="preserve"> Entidad federativa de la persona física o moral (catálogo)</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11</w:t>
      </w:r>
      <w:r w:rsidRPr="004D7E87">
        <w:rPr>
          <w:rFonts w:ascii="Palatino Linotype" w:hAnsi="Palatino Linotype" w:cs="Arial"/>
          <w:i/>
          <w:sz w:val="22"/>
        </w:rPr>
        <w:t xml:space="preserve"> El proveedor o contratista realiza subcontrataciones (catálogo): Sí / No</w:t>
      </w:r>
    </w:p>
    <w:p w:rsidR="004D7E87"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12</w:t>
      </w:r>
      <w:r w:rsidRPr="004D7E87">
        <w:rPr>
          <w:rFonts w:ascii="Palatino Linotype" w:hAnsi="Palatino Linotype" w:cs="Arial"/>
          <w:i/>
          <w:sz w:val="22"/>
        </w:rPr>
        <w:t xml:space="preserve"> Actividad económica de la empresa. Especificar la actividad económica de la</w:t>
      </w:r>
      <w:r w:rsidR="004D7E87" w:rsidRPr="004D7E87">
        <w:rPr>
          <w:rFonts w:ascii="Palatino Linotype" w:hAnsi="Palatino Linotype" w:cs="Arial"/>
          <w:i/>
          <w:sz w:val="22"/>
        </w:rPr>
        <w:t xml:space="preserve"> </w:t>
      </w:r>
      <w:r w:rsidRPr="004D7E87">
        <w:rPr>
          <w:rFonts w:ascii="Palatino Linotype" w:hAnsi="Palatino Linotype" w:cs="Arial"/>
          <w:i/>
          <w:sz w:val="22"/>
        </w:rPr>
        <w:t>empresa usando como referencia la cl</w:t>
      </w:r>
      <w:r w:rsidR="004D7E87" w:rsidRPr="004D7E87">
        <w:rPr>
          <w:rFonts w:ascii="Palatino Linotype" w:hAnsi="Palatino Linotype" w:cs="Arial"/>
          <w:i/>
          <w:sz w:val="22"/>
        </w:rPr>
        <w:t xml:space="preserve">asificación que se maneja en el </w:t>
      </w:r>
      <w:r w:rsidRPr="004D7E87">
        <w:rPr>
          <w:rFonts w:ascii="Palatino Linotype" w:hAnsi="Palatino Linotype" w:cs="Arial"/>
          <w:i/>
          <w:sz w:val="22"/>
        </w:rPr>
        <w:t>Directorio Estadístico Nacional de Unidades Económicas. Por ejemplo:</w:t>
      </w:r>
      <w:r w:rsidR="004D7E87" w:rsidRPr="004D7E87">
        <w:rPr>
          <w:rFonts w:ascii="Palatino Linotype" w:hAnsi="Palatino Linotype" w:cs="Arial"/>
          <w:i/>
          <w:sz w:val="22"/>
        </w:rPr>
        <w:t xml:space="preserve"> </w:t>
      </w:r>
      <w:r w:rsidRPr="004D7E87">
        <w:rPr>
          <w:rFonts w:ascii="Palatino Linotype" w:hAnsi="Palatino Linotype" w:cs="Arial"/>
          <w:i/>
          <w:sz w:val="22"/>
        </w:rPr>
        <w:t>Servicios Inmobiliarios y de alquiler de bienes muebles e intangibles, Servicios</w:t>
      </w:r>
      <w:r w:rsidR="004D7E87" w:rsidRPr="004D7E87">
        <w:rPr>
          <w:rFonts w:ascii="Palatino Linotype" w:hAnsi="Palatino Linotype" w:cs="Arial"/>
          <w:i/>
          <w:sz w:val="22"/>
        </w:rPr>
        <w:t xml:space="preserve"> </w:t>
      </w:r>
      <w:r w:rsidRPr="004D7E87">
        <w:rPr>
          <w:rFonts w:ascii="Palatino Linotype" w:hAnsi="Palatino Linotype" w:cs="Arial"/>
          <w:i/>
          <w:sz w:val="22"/>
        </w:rPr>
        <w:t>inmobiliarios, Alquiler de automóviles, camiones y otros trasportes terrestres;</w:t>
      </w:r>
      <w:r w:rsidR="004D7E87" w:rsidRPr="004D7E87">
        <w:rPr>
          <w:rFonts w:ascii="Palatino Linotype" w:hAnsi="Palatino Linotype" w:cs="Arial"/>
          <w:i/>
          <w:sz w:val="22"/>
        </w:rPr>
        <w:t xml:space="preserve"> </w:t>
      </w:r>
      <w:r w:rsidRPr="004D7E87">
        <w:rPr>
          <w:rFonts w:ascii="Palatino Linotype" w:hAnsi="Palatino Linotype" w:cs="Arial"/>
          <w:i/>
          <w:sz w:val="22"/>
        </w:rPr>
        <w:t>Alquiler de automóviles sin chofer</w:t>
      </w:r>
      <w:r w:rsidR="004D7E87" w:rsidRPr="004D7E87">
        <w:rPr>
          <w:rFonts w:ascii="Palatino Linotype" w:hAnsi="Palatino Linotype" w:cs="Arial"/>
          <w:i/>
          <w:sz w:val="22"/>
        </w:rPr>
        <w:t xml:space="preserve"> </w:t>
      </w:r>
    </w:p>
    <w:p w:rsidR="004D7E87"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13</w:t>
      </w:r>
      <w:r w:rsidRPr="004D7E87">
        <w:rPr>
          <w:rFonts w:ascii="Palatino Linotype" w:hAnsi="Palatino Linotype" w:cs="Arial"/>
          <w:i/>
          <w:sz w:val="22"/>
        </w:rPr>
        <w:t xml:space="preserve"> Domicilio fiscal de la empresa (tipo de vialidad [catálogo], nombre de</w:t>
      </w:r>
      <w:r w:rsidR="004D7E87" w:rsidRPr="004D7E87">
        <w:rPr>
          <w:rFonts w:ascii="Palatino Linotype" w:hAnsi="Palatino Linotype" w:cs="Arial"/>
          <w:i/>
          <w:sz w:val="22"/>
        </w:rPr>
        <w:t xml:space="preserve"> </w:t>
      </w:r>
      <w:r w:rsidRPr="004D7E87">
        <w:rPr>
          <w:rFonts w:ascii="Palatino Linotype" w:hAnsi="Palatino Linotype" w:cs="Arial"/>
          <w:i/>
          <w:sz w:val="22"/>
        </w:rPr>
        <w:t>vialidad [calle], número exterior, número interior [en su caso], Tipo de</w:t>
      </w:r>
      <w:r w:rsidR="004D7E87" w:rsidRPr="004D7E87">
        <w:rPr>
          <w:rFonts w:ascii="Palatino Linotype" w:hAnsi="Palatino Linotype" w:cs="Arial"/>
          <w:i/>
          <w:sz w:val="22"/>
        </w:rPr>
        <w:t xml:space="preserve"> </w:t>
      </w:r>
      <w:r w:rsidRPr="004D7E87">
        <w:rPr>
          <w:rFonts w:ascii="Palatino Linotype" w:hAnsi="Palatino Linotype" w:cs="Arial"/>
          <w:i/>
          <w:sz w:val="22"/>
        </w:rPr>
        <w:t>asentamiento humano [catálogo], nombre de asentamiento humano [colonia],</w:t>
      </w:r>
      <w:r w:rsidR="004D7E87" w:rsidRPr="004D7E87">
        <w:rPr>
          <w:rFonts w:ascii="Palatino Linotype" w:hAnsi="Palatino Linotype" w:cs="Arial"/>
          <w:i/>
          <w:sz w:val="22"/>
        </w:rPr>
        <w:t xml:space="preserve"> </w:t>
      </w:r>
      <w:r w:rsidRPr="004D7E87">
        <w:rPr>
          <w:rFonts w:ascii="Palatino Linotype" w:hAnsi="Palatino Linotype" w:cs="Arial"/>
          <w:i/>
          <w:sz w:val="22"/>
        </w:rPr>
        <w:t>clave de la localidad, nombre de la localidad, clave del municipio, nombre del municipio o delegación, clave de la entidad federativa, nombre de la entidad</w:t>
      </w:r>
      <w:r w:rsidR="004D7E87" w:rsidRPr="004D7E87">
        <w:rPr>
          <w:rFonts w:ascii="Palatino Linotype" w:hAnsi="Palatino Linotype" w:cs="Arial"/>
          <w:i/>
          <w:sz w:val="22"/>
        </w:rPr>
        <w:t xml:space="preserve"> </w:t>
      </w:r>
      <w:r w:rsidRPr="004D7E87">
        <w:rPr>
          <w:rFonts w:ascii="Palatino Linotype" w:hAnsi="Palatino Linotype" w:cs="Arial"/>
          <w:i/>
          <w:sz w:val="22"/>
        </w:rPr>
        <w:t>federativa [catálogo], código postal), es decir, el proporcionado ante el SAT</w:t>
      </w:r>
      <w:r w:rsidR="004D7E87" w:rsidRPr="004D7E87">
        <w:rPr>
          <w:rFonts w:ascii="Palatino Linotype" w:hAnsi="Palatino Linotype" w:cs="Arial"/>
          <w:i/>
          <w:sz w:val="22"/>
        </w:rPr>
        <w:t xml:space="preserve"> </w:t>
      </w:r>
    </w:p>
    <w:p w:rsidR="004D7E87"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14</w:t>
      </w:r>
      <w:r w:rsidRPr="004D7E87">
        <w:rPr>
          <w:rFonts w:ascii="Palatino Linotype" w:hAnsi="Palatino Linotype" w:cs="Arial"/>
          <w:i/>
          <w:sz w:val="22"/>
        </w:rPr>
        <w:t xml:space="preserve"> Domicilio en el extranjero. En caso de que el</w:t>
      </w:r>
      <w:r w:rsidR="004D7E87" w:rsidRPr="004D7E87">
        <w:rPr>
          <w:rFonts w:ascii="Palatino Linotype" w:hAnsi="Palatino Linotype" w:cs="Arial"/>
          <w:i/>
          <w:sz w:val="22"/>
        </w:rPr>
        <w:t xml:space="preserve"> proveedor o contratista sea de </w:t>
      </w:r>
      <w:r w:rsidRPr="004D7E87">
        <w:rPr>
          <w:rFonts w:ascii="Palatino Linotype" w:hAnsi="Palatino Linotype" w:cs="Arial"/>
          <w:i/>
          <w:sz w:val="22"/>
        </w:rPr>
        <w:t xml:space="preserve">otro país, se deberá incluir el domicilio el cual deberá incluir por lo </w:t>
      </w:r>
      <w:r w:rsidR="004D7E87" w:rsidRPr="004D7E87">
        <w:rPr>
          <w:rFonts w:ascii="Palatino Linotype" w:hAnsi="Palatino Linotype" w:cs="Arial"/>
          <w:i/>
          <w:sz w:val="22"/>
        </w:rPr>
        <w:t xml:space="preserve">menos: país, </w:t>
      </w:r>
      <w:r w:rsidRPr="004D7E87">
        <w:rPr>
          <w:rFonts w:ascii="Palatino Linotype" w:hAnsi="Palatino Linotype" w:cs="Arial"/>
          <w:i/>
          <w:sz w:val="22"/>
        </w:rPr>
        <w:t>ciudad, calle y número</w:t>
      </w:r>
      <w:r w:rsidR="004D7E87" w:rsidRPr="004D7E87">
        <w:rPr>
          <w:rFonts w:ascii="Palatino Linotype" w:hAnsi="Palatino Linotype" w:cs="Arial"/>
          <w:i/>
          <w:sz w:val="22"/>
        </w:rPr>
        <w:t xml:space="preserve"> </w:t>
      </w:r>
    </w:p>
    <w:p w:rsidR="004D7E87" w:rsidRPr="004D7E87" w:rsidRDefault="004D7E87" w:rsidP="004D7E87">
      <w:pPr>
        <w:ind w:left="709" w:right="474"/>
        <w:jc w:val="both"/>
        <w:rPr>
          <w:rFonts w:ascii="Palatino Linotype" w:hAnsi="Palatino Linotype" w:cs="Arial"/>
          <w:i/>
          <w:sz w:val="22"/>
        </w:rPr>
      </w:pPr>
    </w:p>
    <w:p w:rsidR="00AE5653" w:rsidRPr="004D7E87" w:rsidRDefault="00AE5653" w:rsidP="004D7E87">
      <w:pPr>
        <w:ind w:left="709" w:right="474"/>
        <w:jc w:val="both"/>
        <w:rPr>
          <w:rFonts w:ascii="Palatino Linotype" w:hAnsi="Palatino Linotype" w:cs="Arial"/>
          <w:b/>
          <w:i/>
          <w:sz w:val="22"/>
        </w:rPr>
      </w:pPr>
      <w:r w:rsidRPr="004D7E87">
        <w:rPr>
          <w:rFonts w:ascii="Palatino Linotype" w:hAnsi="Palatino Linotype" w:cs="Arial"/>
          <w:b/>
          <w:i/>
          <w:sz w:val="22"/>
        </w:rPr>
        <w:t>Respecto del Representante legal se publicará la siguiente información:</w:t>
      </w:r>
    </w:p>
    <w:p w:rsidR="004D7E87" w:rsidRDefault="004D7E87" w:rsidP="004D7E87">
      <w:pPr>
        <w:ind w:left="709" w:right="474"/>
        <w:jc w:val="both"/>
        <w:rPr>
          <w:rFonts w:ascii="Palatino Linotype" w:hAnsi="Palatino Linotype" w:cs="Arial"/>
          <w:b/>
          <w:i/>
          <w:sz w:val="22"/>
        </w:rPr>
      </w:pP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15</w:t>
      </w:r>
      <w:r w:rsidRPr="004D7E87">
        <w:rPr>
          <w:rFonts w:ascii="Palatino Linotype" w:hAnsi="Palatino Linotype" w:cs="Arial"/>
          <w:i/>
          <w:sz w:val="22"/>
        </w:rPr>
        <w:t xml:space="preserve"> Nombre del representante legal de la empresa,</w:t>
      </w:r>
      <w:r w:rsidR="004D7E87" w:rsidRPr="004D7E87">
        <w:rPr>
          <w:rFonts w:ascii="Palatino Linotype" w:hAnsi="Palatino Linotype" w:cs="Arial"/>
          <w:i/>
          <w:sz w:val="22"/>
        </w:rPr>
        <w:t xml:space="preserve"> es decir, la persona que posee </w:t>
      </w:r>
      <w:r w:rsidRPr="004D7E87">
        <w:rPr>
          <w:rFonts w:ascii="Palatino Linotype" w:hAnsi="Palatino Linotype" w:cs="Arial"/>
          <w:i/>
          <w:sz w:val="22"/>
        </w:rPr>
        <w:t>facultades legales para representarla</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16</w:t>
      </w:r>
      <w:r w:rsidRPr="004D7E87">
        <w:rPr>
          <w:rFonts w:ascii="Palatino Linotype" w:hAnsi="Palatino Linotype" w:cs="Arial"/>
          <w:i/>
          <w:sz w:val="22"/>
        </w:rPr>
        <w:t xml:space="preserve"> Datos de contacto: teléfono, en su caso extensión</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17</w:t>
      </w:r>
      <w:r w:rsidRPr="004D7E87">
        <w:rPr>
          <w:rFonts w:ascii="Palatino Linotype" w:hAnsi="Palatino Linotype" w:cs="Arial"/>
          <w:i/>
          <w:sz w:val="22"/>
        </w:rPr>
        <w:t xml:space="preserve"> Correo electrónico, siempre y cuando </w:t>
      </w:r>
      <w:r w:rsidR="004D7E87" w:rsidRPr="004D7E87">
        <w:rPr>
          <w:rFonts w:ascii="Palatino Linotype" w:hAnsi="Palatino Linotype" w:cs="Arial"/>
          <w:i/>
          <w:sz w:val="22"/>
        </w:rPr>
        <w:t>éstos hayan sido proporcionados p</w:t>
      </w:r>
      <w:r w:rsidRPr="004D7E87">
        <w:rPr>
          <w:rFonts w:ascii="Palatino Linotype" w:hAnsi="Palatino Linotype" w:cs="Arial"/>
          <w:i/>
          <w:sz w:val="22"/>
        </w:rPr>
        <w:t>or la</w:t>
      </w:r>
      <w:r w:rsidR="004D7E87" w:rsidRPr="004D7E87">
        <w:rPr>
          <w:rFonts w:ascii="Palatino Linotype" w:hAnsi="Palatino Linotype" w:cs="Arial"/>
          <w:i/>
          <w:sz w:val="22"/>
        </w:rPr>
        <w:t xml:space="preserve"> </w:t>
      </w:r>
      <w:r w:rsidRPr="004D7E87">
        <w:rPr>
          <w:rFonts w:ascii="Palatino Linotype" w:hAnsi="Palatino Linotype" w:cs="Arial"/>
          <w:i/>
          <w:sz w:val="22"/>
        </w:rPr>
        <w:t>empresa</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18</w:t>
      </w:r>
      <w:r w:rsidRPr="004D7E87">
        <w:rPr>
          <w:rFonts w:ascii="Palatino Linotype" w:hAnsi="Palatino Linotype" w:cs="Arial"/>
          <w:i/>
          <w:sz w:val="22"/>
        </w:rPr>
        <w:t xml:space="preserve"> Tipo de acreditación legal que posee o, en su caso, señalar que no se cuenta</w:t>
      </w:r>
      <w:r w:rsidR="004D7E87" w:rsidRPr="004D7E87">
        <w:rPr>
          <w:rFonts w:ascii="Palatino Linotype" w:hAnsi="Palatino Linotype" w:cs="Arial"/>
          <w:i/>
          <w:sz w:val="22"/>
        </w:rPr>
        <w:t xml:space="preserve"> </w:t>
      </w:r>
      <w:r w:rsidRPr="004D7E87">
        <w:rPr>
          <w:rFonts w:ascii="Palatino Linotype" w:hAnsi="Palatino Linotype" w:cs="Arial"/>
          <w:i/>
          <w:sz w:val="22"/>
        </w:rPr>
        <w:t>con uno</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19</w:t>
      </w:r>
      <w:r w:rsidRPr="004D7E87">
        <w:rPr>
          <w:rFonts w:ascii="Palatino Linotype" w:hAnsi="Palatino Linotype" w:cs="Arial"/>
          <w:i/>
          <w:sz w:val="22"/>
        </w:rPr>
        <w:t xml:space="preserve"> Dirección electrónica que corresponda </w:t>
      </w:r>
      <w:r w:rsidR="004D7E87" w:rsidRPr="004D7E87">
        <w:rPr>
          <w:rFonts w:ascii="Palatino Linotype" w:hAnsi="Palatino Linotype" w:cs="Arial"/>
          <w:i/>
          <w:sz w:val="22"/>
        </w:rPr>
        <w:t xml:space="preserve">a la página web del proveedor o </w:t>
      </w:r>
      <w:r w:rsidRPr="004D7E87">
        <w:rPr>
          <w:rFonts w:ascii="Palatino Linotype" w:hAnsi="Palatino Linotype" w:cs="Arial"/>
          <w:i/>
          <w:sz w:val="22"/>
        </w:rPr>
        <w:t>contratista</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20</w:t>
      </w:r>
      <w:r w:rsidRPr="004D7E87">
        <w:rPr>
          <w:rFonts w:ascii="Palatino Linotype" w:hAnsi="Palatino Linotype" w:cs="Arial"/>
          <w:i/>
          <w:sz w:val="22"/>
        </w:rPr>
        <w:t xml:space="preserve"> Teléfono oficial del proveedor o contratista</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21</w:t>
      </w:r>
      <w:r w:rsidRPr="004D7E87">
        <w:rPr>
          <w:rFonts w:ascii="Palatino Linotype" w:hAnsi="Palatino Linotype" w:cs="Arial"/>
          <w:i/>
          <w:sz w:val="22"/>
        </w:rPr>
        <w:t xml:space="preserve"> Correo electrónico comercial del proveedor o contratista</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22</w:t>
      </w:r>
      <w:r w:rsidRPr="004D7E87">
        <w:rPr>
          <w:rFonts w:ascii="Palatino Linotype" w:hAnsi="Palatino Linotype" w:cs="Arial"/>
          <w:i/>
          <w:sz w:val="22"/>
        </w:rPr>
        <w:t xml:space="preserve"> Hipervínculo al registro electrónico de provee</w:t>
      </w:r>
      <w:r w:rsidR="004D7E87" w:rsidRPr="004D7E87">
        <w:rPr>
          <w:rFonts w:ascii="Palatino Linotype" w:hAnsi="Palatino Linotype" w:cs="Arial"/>
          <w:i/>
          <w:sz w:val="22"/>
        </w:rPr>
        <w:t xml:space="preserve">dores y contratistas que, en su </w:t>
      </w:r>
      <w:r w:rsidRPr="004D7E87">
        <w:rPr>
          <w:rFonts w:ascii="Palatino Linotype" w:hAnsi="Palatino Linotype" w:cs="Arial"/>
          <w:i/>
          <w:sz w:val="22"/>
        </w:rPr>
        <w:t>caso, corresponda</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23</w:t>
      </w:r>
      <w:r w:rsidRPr="004D7E87">
        <w:rPr>
          <w:rFonts w:ascii="Palatino Linotype" w:hAnsi="Palatino Linotype" w:cs="Arial"/>
          <w:i/>
          <w:sz w:val="22"/>
        </w:rPr>
        <w:t xml:space="preserve"> Hipervínculo al Directorio de Proveed</w:t>
      </w:r>
      <w:r w:rsidR="004D7E87" w:rsidRPr="004D7E87">
        <w:rPr>
          <w:rFonts w:ascii="Palatino Linotype" w:hAnsi="Palatino Linotype" w:cs="Arial"/>
          <w:i/>
          <w:sz w:val="22"/>
        </w:rPr>
        <w:t xml:space="preserve">ores y Contratistas Sancionados </w:t>
      </w:r>
      <w:r w:rsidRPr="004D7E87">
        <w:rPr>
          <w:rFonts w:ascii="Palatino Linotype" w:hAnsi="Palatino Linotype" w:cs="Arial"/>
          <w:i/>
          <w:sz w:val="22"/>
        </w:rPr>
        <w:t>Criterios adjetivos de actualización</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24</w:t>
      </w:r>
      <w:r w:rsidRPr="004D7E87">
        <w:rPr>
          <w:rFonts w:ascii="Palatino Linotype" w:hAnsi="Palatino Linotype" w:cs="Arial"/>
          <w:i/>
          <w:sz w:val="22"/>
        </w:rPr>
        <w:t xml:space="preserve"> Periodo de actualización de la información: trimestral</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25</w:t>
      </w:r>
      <w:r w:rsidRPr="004D7E87">
        <w:rPr>
          <w:rFonts w:ascii="Palatino Linotype" w:hAnsi="Palatino Linotype" w:cs="Arial"/>
          <w:i/>
          <w:sz w:val="22"/>
        </w:rPr>
        <w:t xml:space="preserve"> La información deberá estar actualizada</w:t>
      </w:r>
      <w:r w:rsidR="004D7E87" w:rsidRPr="004D7E87">
        <w:rPr>
          <w:rFonts w:ascii="Palatino Linotype" w:hAnsi="Palatino Linotype" w:cs="Arial"/>
          <w:i/>
          <w:sz w:val="22"/>
        </w:rPr>
        <w:t xml:space="preserve"> al periodo que corresponde, de </w:t>
      </w:r>
      <w:r w:rsidRPr="004D7E87">
        <w:rPr>
          <w:rFonts w:ascii="Palatino Linotype" w:hAnsi="Palatino Linotype" w:cs="Arial"/>
          <w:i/>
          <w:sz w:val="22"/>
        </w:rPr>
        <w:t>acuerdo con la Tabla de actualización y conservación de la información</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26</w:t>
      </w:r>
      <w:r w:rsidRPr="004D7E87">
        <w:rPr>
          <w:rFonts w:ascii="Palatino Linotype" w:hAnsi="Palatino Linotype" w:cs="Arial"/>
          <w:i/>
          <w:sz w:val="22"/>
        </w:rPr>
        <w:t xml:space="preserve"> Conservar en el sitio de Internet y a trav</w:t>
      </w:r>
      <w:r w:rsidR="004D7E87" w:rsidRPr="004D7E87">
        <w:rPr>
          <w:rFonts w:ascii="Palatino Linotype" w:hAnsi="Palatino Linotype" w:cs="Arial"/>
          <w:i/>
          <w:sz w:val="22"/>
        </w:rPr>
        <w:t xml:space="preserve">és de la Plataforma Nacional la </w:t>
      </w:r>
      <w:r w:rsidRPr="004D7E87">
        <w:rPr>
          <w:rFonts w:ascii="Palatino Linotype" w:hAnsi="Palatino Linotype" w:cs="Arial"/>
          <w:i/>
          <w:sz w:val="22"/>
        </w:rPr>
        <w:t>información de acuerdo con la Tabla de act</w:t>
      </w:r>
      <w:r w:rsidR="004D7E87" w:rsidRPr="004D7E87">
        <w:rPr>
          <w:rFonts w:ascii="Palatino Linotype" w:hAnsi="Palatino Linotype" w:cs="Arial"/>
          <w:i/>
          <w:sz w:val="22"/>
        </w:rPr>
        <w:t xml:space="preserve">ualización y conservación de la </w:t>
      </w:r>
      <w:r w:rsidRPr="004D7E87">
        <w:rPr>
          <w:rFonts w:ascii="Palatino Linotype" w:hAnsi="Palatino Linotype" w:cs="Arial"/>
          <w:i/>
          <w:sz w:val="22"/>
        </w:rPr>
        <w:t>información</w:t>
      </w:r>
    </w:p>
    <w:p w:rsidR="004D7E87" w:rsidRPr="004D7E87" w:rsidRDefault="004D7E87" w:rsidP="004D7E87">
      <w:pPr>
        <w:ind w:left="709" w:right="474"/>
        <w:jc w:val="both"/>
        <w:rPr>
          <w:rFonts w:ascii="Palatino Linotype" w:hAnsi="Palatino Linotype" w:cs="Arial"/>
          <w:i/>
          <w:sz w:val="22"/>
        </w:rPr>
      </w:pPr>
    </w:p>
    <w:p w:rsidR="00AE5653" w:rsidRPr="004D7E87" w:rsidRDefault="00AE5653" w:rsidP="004D7E87">
      <w:pPr>
        <w:ind w:left="709" w:right="474"/>
        <w:jc w:val="both"/>
        <w:rPr>
          <w:rFonts w:ascii="Palatino Linotype" w:hAnsi="Palatino Linotype" w:cs="Arial"/>
          <w:b/>
          <w:i/>
          <w:sz w:val="22"/>
        </w:rPr>
      </w:pPr>
      <w:r w:rsidRPr="004D7E87">
        <w:rPr>
          <w:rFonts w:ascii="Palatino Linotype" w:hAnsi="Palatino Linotype" w:cs="Arial"/>
          <w:b/>
          <w:i/>
          <w:sz w:val="22"/>
        </w:rPr>
        <w:t>Criterios adjetivos de confiabilidad</w:t>
      </w:r>
    </w:p>
    <w:p w:rsidR="004D7E87" w:rsidRDefault="004D7E87" w:rsidP="004D7E87">
      <w:pPr>
        <w:ind w:left="709" w:right="474"/>
        <w:jc w:val="both"/>
        <w:rPr>
          <w:rFonts w:ascii="Palatino Linotype" w:hAnsi="Palatino Linotype" w:cs="Arial"/>
          <w:b/>
          <w:i/>
          <w:sz w:val="22"/>
        </w:rPr>
      </w:pP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27</w:t>
      </w:r>
      <w:r w:rsidRPr="004D7E87">
        <w:rPr>
          <w:rFonts w:ascii="Palatino Linotype" w:hAnsi="Palatino Linotype" w:cs="Arial"/>
          <w:i/>
          <w:sz w:val="22"/>
        </w:rPr>
        <w:t xml:space="preserve"> Área(s) responsable(s) que genera(n), posee(n), publica(n) y/o actualiza(n) la</w:t>
      </w:r>
      <w:r w:rsidR="004D7E87" w:rsidRPr="004D7E87">
        <w:rPr>
          <w:rFonts w:ascii="Palatino Linotype" w:hAnsi="Palatino Linotype" w:cs="Arial"/>
          <w:i/>
          <w:sz w:val="22"/>
        </w:rPr>
        <w:t xml:space="preserve"> </w:t>
      </w:r>
      <w:r w:rsidRPr="004D7E87">
        <w:rPr>
          <w:rFonts w:ascii="Palatino Linotype" w:hAnsi="Palatino Linotype" w:cs="Arial"/>
          <w:i/>
          <w:sz w:val="22"/>
        </w:rPr>
        <w:t>información</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28</w:t>
      </w:r>
      <w:r w:rsidRPr="004D7E87">
        <w:rPr>
          <w:rFonts w:ascii="Palatino Linotype" w:hAnsi="Palatino Linotype" w:cs="Arial"/>
          <w:i/>
          <w:sz w:val="22"/>
        </w:rPr>
        <w:t xml:space="preserve"> Fecha de actualización de la información publicada con el formato día/mes/año</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29</w:t>
      </w:r>
      <w:r w:rsidRPr="004D7E87">
        <w:rPr>
          <w:rFonts w:ascii="Palatino Linotype" w:hAnsi="Palatino Linotype" w:cs="Arial"/>
          <w:i/>
          <w:sz w:val="22"/>
        </w:rPr>
        <w:t xml:space="preserve"> Fecha de validación de la información publicada con el formato día/mes/año</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30</w:t>
      </w:r>
      <w:r w:rsidRPr="004D7E87">
        <w:rPr>
          <w:rFonts w:ascii="Palatino Linotype" w:hAnsi="Palatino Linotype" w:cs="Arial"/>
          <w:i/>
          <w:sz w:val="22"/>
        </w:rPr>
        <w:t xml:space="preserve"> Nota. Este criterio se cumple en caso de </w:t>
      </w:r>
      <w:r w:rsidR="004D7E87" w:rsidRPr="004D7E87">
        <w:rPr>
          <w:rFonts w:ascii="Palatino Linotype" w:hAnsi="Palatino Linotype" w:cs="Arial"/>
          <w:i/>
          <w:sz w:val="22"/>
        </w:rPr>
        <w:t xml:space="preserve">que sea necesario que el sujeto </w:t>
      </w:r>
      <w:r w:rsidRPr="004D7E87">
        <w:rPr>
          <w:rFonts w:ascii="Palatino Linotype" w:hAnsi="Palatino Linotype" w:cs="Arial"/>
          <w:i/>
          <w:sz w:val="22"/>
        </w:rPr>
        <w:t>obligado incluya alguna aclaración relativa</w:t>
      </w:r>
      <w:r w:rsidR="004D7E87" w:rsidRPr="004D7E87">
        <w:rPr>
          <w:rFonts w:ascii="Palatino Linotype" w:hAnsi="Palatino Linotype" w:cs="Arial"/>
          <w:i/>
          <w:sz w:val="22"/>
        </w:rPr>
        <w:t xml:space="preserve"> a la información publicada y/o </w:t>
      </w:r>
      <w:r w:rsidRPr="004D7E87">
        <w:rPr>
          <w:rFonts w:ascii="Palatino Linotype" w:hAnsi="Palatino Linotype" w:cs="Arial"/>
          <w:i/>
          <w:sz w:val="22"/>
        </w:rPr>
        <w:t>explicación por la falta de información</w:t>
      </w:r>
    </w:p>
    <w:p w:rsidR="004D7E87" w:rsidRPr="004D7E87" w:rsidRDefault="004D7E87" w:rsidP="004D7E87">
      <w:pPr>
        <w:ind w:left="709" w:right="474"/>
        <w:jc w:val="both"/>
        <w:rPr>
          <w:rFonts w:ascii="Palatino Linotype" w:hAnsi="Palatino Linotype" w:cs="Arial"/>
          <w:i/>
          <w:sz w:val="22"/>
        </w:rPr>
      </w:pPr>
    </w:p>
    <w:p w:rsidR="00AE5653" w:rsidRPr="004D7E87" w:rsidRDefault="00AE5653" w:rsidP="004D7E87">
      <w:pPr>
        <w:ind w:left="709" w:right="474"/>
        <w:jc w:val="both"/>
        <w:rPr>
          <w:rFonts w:ascii="Palatino Linotype" w:hAnsi="Palatino Linotype" w:cs="Arial"/>
          <w:b/>
          <w:i/>
          <w:sz w:val="22"/>
        </w:rPr>
      </w:pPr>
      <w:r w:rsidRPr="004D7E87">
        <w:rPr>
          <w:rFonts w:ascii="Palatino Linotype" w:hAnsi="Palatino Linotype" w:cs="Arial"/>
          <w:b/>
          <w:i/>
          <w:sz w:val="22"/>
        </w:rPr>
        <w:t>Criterios adjetivos de formato</w:t>
      </w:r>
    </w:p>
    <w:p w:rsidR="004D7E87" w:rsidRDefault="004D7E87" w:rsidP="004D7E87">
      <w:pPr>
        <w:ind w:left="709" w:right="474"/>
        <w:jc w:val="both"/>
        <w:rPr>
          <w:rFonts w:ascii="Palatino Linotype" w:hAnsi="Palatino Linotype" w:cs="Arial"/>
          <w:b/>
          <w:i/>
          <w:sz w:val="22"/>
        </w:rPr>
      </w:pP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31</w:t>
      </w:r>
      <w:r w:rsidRPr="004D7E87">
        <w:rPr>
          <w:rFonts w:ascii="Palatino Linotype" w:hAnsi="Palatino Linotype" w:cs="Arial"/>
          <w:i/>
          <w:sz w:val="22"/>
        </w:rPr>
        <w:t xml:space="preserve"> La información publicada se organiza mediante el formato 32, en el que se</w:t>
      </w:r>
      <w:r w:rsidR="004D7E87" w:rsidRPr="004D7E87">
        <w:rPr>
          <w:rFonts w:ascii="Palatino Linotype" w:hAnsi="Palatino Linotype" w:cs="Arial"/>
          <w:i/>
          <w:sz w:val="22"/>
        </w:rPr>
        <w:t xml:space="preserve"> </w:t>
      </w:r>
      <w:r w:rsidRPr="004D7E87">
        <w:rPr>
          <w:rFonts w:ascii="Palatino Linotype" w:hAnsi="Palatino Linotype" w:cs="Arial"/>
          <w:i/>
          <w:sz w:val="22"/>
        </w:rPr>
        <w:t>incluyen todos los campos especificados en los criterios sustantivos de</w:t>
      </w:r>
      <w:r w:rsidR="004D7E87" w:rsidRPr="004D7E87">
        <w:rPr>
          <w:rFonts w:ascii="Palatino Linotype" w:hAnsi="Palatino Linotype" w:cs="Arial"/>
          <w:i/>
          <w:sz w:val="22"/>
        </w:rPr>
        <w:t xml:space="preserve"> </w:t>
      </w:r>
      <w:r w:rsidRPr="004D7E87">
        <w:rPr>
          <w:rFonts w:ascii="Palatino Linotype" w:hAnsi="Palatino Linotype" w:cs="Arial"/>
          <w:i/>
          <w:sz w:val="22"/>
        </w:rPr>
        <w:t>contenido</w:t>
      </w:r>
    </w:p>
    <w:p w:rsidR="00AE5653" w:rsidRPr="004D7E87" w:rsidRDefault="00AE5653" w:rsidP="004D7E87">
      <w:pPr>
        <w:ind w:left="709" w:right="474"/>
        <w:jc w:val="both"/>
        <w:rPr>
          <w:rFonts w:ascii="Palatino Linotype" w:hAnsi="Palatino Linotype" w:cs="Arial"/>
          <w:i/>
          <w:sz w:val="22"/>
        </w:rPr>
      </w:pPr>
      <w:r w:rsidRPr="004D7E87">
        <w:rPr>
          <w:rFonts w:ascii="Palatino Linotype" w:hAnsi="Palatino Linotype" w:cs="Arial"/>
          <w:b/>
          <w:i/>
          <w:sz w:val="22"/>
        </w:rPr>
        <w:t>Criterio 32</w:t>
      </w:r>
      <w:r w:rsidRPr="004D7E87">
        <w:rPr>
          <w:rFonts w:ascii="Palatino Linotype" w:hAnsi="Palatino Linotype" w:cs="Arial"/>
          <w:i/>
          <w:sz w:val="22"/>
        </w:rPr>
        <w:t xml:space="preserve"> El soporte de la información permite su reutilización</w:t>
      </w:r>
    </w:p>
    <w:p w:rsidR="00AE5653" w:rsidRDefault="00AE5653" w:rsidP="00B06D8A">
      <w:pPr>
        <w:spacing w:line="360" w:lineRule="auto"/>
        <w:jc w:val="both"/>
        <w:rPr>
          <w:rFonts w:ascii="Palatino Linotype" w:hAnsi="Palatino Linotype" w:cs="Arial"/>
        </w:rPr>
      </w:pPr>
    </w:p>
    <w:p w:rsidR="004D2C13" w:rsidRDefault="004D2C13" w:rsidP="007A4636">
      <w:pPr>
        <w:spacing w:line="360" w:lineRule="auto"/>
        <w:jc w:val="both"/>
        <w:rPr>
          <w:rFonts w:ascii="Palatino Linotype" w:hAnsi="Palatino Linotype" w:cs="Arial"/>
        </w:rPr>
      </w:pPr>
      <w:r>
        <w:rPr>
          <w:rFonts w:ascii="Palatino Linotype" w:hAnsi="Palatino Linotype" w:cs="Arial"/>
        </w:rPr>
        <w:t>De lo anterior se advierte que la información disponible en la Plataforma de IPOMEX cumple con los elementos que</w:t>
      </w:r>
      <w:r w:rsidR="007A4636">
        <w:rPr>
          <w:rFonts w:ascii="Palatino Linotype" w:hAnsi="Palatino Linotype" w:cs="Arial"/>
        </w:rPr>
        <w:t xml:space="preserve"> colman el requerimiento del ciudadano,</w:t>
      </w:r>
      <w:r>
        <w:rPr>
          <w:rFonts w:ascii="Palatino Linotype" w:hAnsi="Palatino Linotype" w:cs="Arial"/>
        </w:rPr>
        <w:t xml:space="preserve">  aunado a que </w:t>
      </w:r>
      <w:r w:rsidR="007A4636" w:rsidRPr="007A4636">
        <w:rPr>
          <w:rFonts w:ascii="Palatino Linotype" w:hAnsi="Palatino Linotype" w:cs="Arial"/>
        </w:rPr>
        <w:t>Reglamento de la Ley de Contratación Pública</w:t>
      </w:r>
      <w:r w:rsidR="007A4636">
        <w:rPr>
          <w:rFonts w:ascii="Palatino Linotype" w:hAnsi="Palatino Linotype" w:cs="Arial"/>
        </w:rPr>
        <w:t xml:space="preserve"> d</w:t>
      </w:r>
      <w:r w:rsidR="007A4636" w:rsidRPr="007A4636">
        <w:rPr>
          <w:rFonts w:ascii="Palatino Linotype" w:hAnsi="Palatino Linotype" w:cs="Arial"/>
        </w:rPr>
        <w:t>el Estado de México y Municipios</w:t>
      </w:r>
      <w:r w:rsidR="007A4636">
        <w:rPr>
          <w:rFonts w:ascii="Palatino Linotype" w:hAnsi="Palatino Linotype" w:cs="Arial"/>
        </w:rPr>
        <w:t xml:space="preserve"> señala como requisitos para la integración de dichos </w:t>
      </w:r>
      <w:proofErr w:type="spellStart"/>
      <w:r w:rsidR="007A4636">
        <w:rPr>
          <w:rFonts w:ascii="Palatino Linotype" w:hAnsi="Palatino Linotype" w:cs="Arial"/>
        </w:rPr>
        <w:t>catalogos</w:t>
      </w:r>
      <w:proofErr w:type="spellEnd"/>
      <w:r w:rsidR="007A4636">
        <w:rPr>
          <w:rFonts w:ascii="Palatino Linotype" w:hAnsi="Palatino Linotype" w:cs="Arial"/>
        </w:rPr>
        <w:t xml:space="preserve"> de proveedores lo siguiente:</w:t>
      </w:r>
    </w:p>
    <w:p w:rsidR="004D2C13" w:rsidRDefault="004D2C13" w:rsidP="00B06D8A">
      <w:pPr>
        <w:spacing w:line="360" w:lineRule="auto"/>
        <w:jc w:val="both"/>
        <w:rPr>
          <w:rFonts w:ascii="Palatino Linotype" w:hAnsi="Palatino Linotype" w:cs="Arial"/>
        </w:rPr>
      </w:pPr>
    </w:p>
    <w:p w:rsidR="004D2C13" w:rsidRPr="004D2C13" w:rsidRDefault="004D2C13" w:rsidP="004D2C13">
      <w:pPr>
        <w:ind w:left="709" w:right="474"/>
        <w:jc w:val="both"/>
        <w:rPr>
          <w:rFonts w:ascii="Palatino Linotype" w:hAnsi="Palatino Linotype" w:cs="Arial"/>
          <w:i/>
          <w:sz w:val="22"/>
        </w:rPr>
      </w:pPr>
      <w:r w:rsidRPr="007A4636">
        <w:rPr>
          <w:rFonts w:ascii="Palatino Linotype" w:hAnsi="Palatino Linotype" w:cs="Arial"/>
          <w:b/>
          <w:i/>
          <w:sz w:val="22"/>
        </w:rPr>
        <w:t>Artículo 2</w:t>
      </w:r>
      <w:r w:rsidRPr="004D2C13">
        <w:rPr>
          <w:rFonts w:ascii="Palatino Linotype" w:hAnsi="Palatino Linotype" w:cs="Arial"/>
          <w:i/>
          <w:sz w:val="22"/>
        </w:rPr>
        <w:t>.- Para los efectos de este Reglamento, se entenderá por:</w:t>
      </w:r>
    </w:p>
    <w:p w:rsidR="004D2C13" w:rsidRPr="004D2C13" w:rsidRDefault="007A4636" w:rsidP="004D2C13">
      <w:pPr>
        <w:ind w:left="709" w:right="474"/>
        <w:jc w:val="both"/>
        <w:rPr>
          <w:rFonts w:ascii="Palatino Linotype" w:hAnsi="Palatino Linotype" w:cs="Arial"/>
          <w:i/>
          <w:sz w:val="22"/>
        </w:rPr>
      </w:pPr>
      <w:r>
        <w:rPr>
          <w:rFonts w:ascii="Palatino Linotype" w:hAnsi="Palatino Linotype" w:cs="Arial"/>
          <w:i/>
          <w:sz w:val="22"/>
        </w:rPr>
        <w:t xml:space="preserve">… </w:t>
      </w:r>
    </w:p>
    <w:p w:rsidR="004D2C13" w:rsidRPr="004D2C13" w:rsidRDefault="004D2C13" w:rsidP="004D2C13">
      <w:pPr>
        <w:ind w:left="709" w:right="474"/>
        <w:jc w:val="both"/>
        <w:rPr>
          <w:rFonts w:ascii="Palatino Linotype" w:hAnsi="Palatino Linotype" w:cs="Arial"/>
          <w:i/>
          <w:sz w:val="22"/>
        </w:rPr>
      </w:pPr>
      <w:r w:rsidRPr="004D2C13">
        <w:rPr>
          <w:rFonts w:ascii="Palatino Linotype" w:hAnsi="Palatino Linotype" w:cs="Arial"/>
          <w:i/>
          <w:sz w:val="22"/>
        </w:rPr>
        <w:t xml:space="preserve">IV. </w:t>
      </w:r>
      <w:r w:rsidRPr="007A4636">
        <w:rPr>
          <w:rFonts w:ascii="Palatino Linotype" w:hAnsi="Palatino Linotype" w:cs="Arial"/>
          <w:b/>
          <w:i/>
          <w:sz w:val="22"/>
        </w:rPr>
        <w:t>Catálogo de Proveedores y Prestadores de Servicios</w:t>
      </w:r>
      <w:r w:rsidRPr="004D2C13">
        <w:rPr>
          <w:rFonts w:ascii="Palatino Linotype" w:hAnsi="Palatino Linotype" w:cs="Arial"/>
          <w:i/>
          <w:sz w:val="22"/>
        </w:rPr>
        <w:t>: Lista de carácter público en la que se</w:t>
      </w:r>
      <w:r>
        <w:rPr>
          <w:rFonts w:ascii="Palatino Linotype" w:hAnsi="Palatino Linotype" w:cs="Arial"/>
          <w:i/>
          <w:sz w:val="22"/>
        </w:rPr>
        <w:t xml:space="preserve"> </w:t>
      </w:r>
      <w:r w:rsidRPr="004D2C13">
        <w:rPr>
          <w:rFonts w:ascii="Palatino Linotype" w:hAnsi="Palatino Linotype" w:cs="Arial"/>
          <w:i/>
          <w:sz w:val="22"/>
        </w:rPr>
        <w:t>registran en el Sistema COMPRAMEX los proveedores y prestadores de servicios que han</w:t>
      </w:r>
      <w:r>
        <w:rPr>
          <w:rFonts w:ascii="Palatino Linotype" w:hAnsi="Palatino Linotype" w:cs="Arial"/>
          <w:i/>
          <w:sz w:val="22"/>
        </w:rPr>
        <w:t xml:space="preserve"> </w:t>
      </w:r>
      <w:r w:rsidRPr="004D2C13">
        <w:rPr>
          <w:rFonts w:ascii="Palatino Linotype" w:hAnsi="Palatino Linotype" w:cs="Arial"/>
          <w:i/>
          <w:sz w:val="22"/>
        </w:rPr>
        <w:t xml:space="preserve">acreditado cumplir con los requisitos establecidos por la Secretaría, </w:t>
      </w:r>
      <w:r w:rsidRPr="007A4636">
        <w:rPr>
          <w:rFonts w:ascii="Palatino Linotype" w:hAnsi="Palatino Linotype" w:cs="Arial"/>
          <w:b/>
          <w:i/>
          <w:sz w:val="22"/>
        </w:rPr>
        <w:t>con la finalidad de que se les permita en los procedimientos de adquisición omitir la presentación de los documentos relacionados con su información administrativa, legal y financiera</w:t>
      </w:r>
      <w:r w:rsidRPr="004D2C13">
        <w:rPr>
          <w:rFonts w:ascii="Palatino Linotype" w:hAnsi="Palatino Linotype" w:cs="Arial"/>
          <w:i/>
          <w:sz w:val="22"/>
        </w:rPr>
        <w:t>, así como tener preferencia</w:t>
      </w:r>
      <w:r>
        <w:rPr>
          <w:rFonts w:ascii="Palatino Linotype" w:hAnsi="Palatino Linotype" w:cs="Arial"/>
          <w:i/>
          <w:sz w:val="22"/>
        </w:rPr>
        <w:t xml:space="preserve"> </w:t>
      </w:r>
      <w:r w:rsidRPr="004D2C13">
        <w:rPr>
          <w:rFonts w:ascii="Palatino Linotype" w:hAnsi="Palatino Linotype" w:cs="Arial"/>
          <w:i/>
          <w:sz w:val="22"/>
        </w:rPr>
        <w:t>en las convocatorias que se realicen a procedimientos de invitación restringida.</w:t>
      </w:r>
      <w:r w:rsidRPr="004D2C13">
        <w:rPr>
          <w:rFonts w:ascii="Palatino Linotype" w:hAnsi="Palatino Linotype" w:cs="Arial"/>
          <w:i/>
          <w:sz w:val="22"/>
        </w:rPr>
        <w:cr/>
      </w:r>
    </w:p>
    <w:p w:rsidR="004D2C13" w:rsidRDefault="004D2C13" w:rsidP="004D2C13">
      <w:pPr>
        <w:ind w:left="709" w:right="474"/>
        <w:jc w:val="both"/>
        <w:rPr>
          <w:rFonts w:ascii="Palatino Linotype" w:hAnsi="Palatino Linotype" w:cs="Arial"/>
          <w:i/>
          <w:sz w:val="22"/>
        </w:rPr>
      </w:pPr>
      <w:r w:rsidRPr="007A4636">
        <w:rPr>
          <w:rFonts w:ascii="Palatino Linotype" w:hAnsi="Palatino Linotype" w:cs="Arial"/>
          <w:b/>
          <w:i/>
          <w:sz w:val="22"/>
        </w:rPr>
        <w:t>Artículo 24</w:t>
      </w:r>
      <w:r w:rsidRPr="004D2C13">
        <w:rPr>
          <w:rFonts w:ascii="Palatino Linotype" w:hAnsi="Palatino Linotype" w:cs="Arial"/>
          <w:i/>
          <w:sz w:val="22"/>
        </w:rPr>
        <w:t>.- Para conocer la capacidad administrativa, financiera, legal y técnica de los proveedores</w:t>
      </w:r>
      <w:r>
        <w:rPr>
          <w:rFonts w:ascii="Palatino Linotype" w:hAnsi="Palatino Linotype" w:cs="Arial"/>
          <w:i/>
          <w:sz w:val="22"/>
        </w:rPr>
        <w:t xml:space="preserve"> </w:t>
      </w:r>
      <w:r w:rsidRPr="004D2C13">
        <w:rPr>
          <w:rFonts w:ascii="Palatino Linotype" w:hAnsi="Palatino Linotype" w:cs="Arial"/>
          <w:i/>
          <w:sz w:val="22"/>
        </w:rPr>
        <w:t xml:space="preserve">de bienes y prestadores de servicios, la Secretaría integrará, operará y actualizará un </w:t>
      </w:r>
      <w:r w:rsidRPr="007A4636">
        <w:rPr>
          <w:rFonts w:ascii="Palatino Linotype" w:hAnsi="Palatino Linotype" w:cs="Arial"/>
          <w:b/>
          <w:i/>
          <w:sz w:val="22"/>
        </w:rPr>
        <w:t>catálogo de proveedores y prestadores de servicios</w:t>
      </w:r>
      <w:r w:rsidRPr="004D2C13">
        <w:rPr>
          <w:rFonts w:ascii="Palatino Linotype" w:hAnsi="Palatino Linotype" w:cs="Arial"/>
          <w:i/>
          <w:sz w:val="22"/>
        </w:rPr>
        <w:t xml:space="preserve"> a través del Sistema COMPRAMEX, que contendrá lo</w:t>
      </w:r>
      <w:r>
        <w:rPr>
          <w:rFonts w:ascii="Palatino Linotype" w:hAnsi="Palatino Linotype" w:cs="Arial"/>
          <w:i/>
          <w:sz w:val="22"/>
        </w:rPr>
        <w:t xml:space="preserve"> </w:t>
      </w:r>
      <w:r w:rsidRPr="004D2C13">
        <w:rPr>
          <w:rFonts w:ascii="Palatino Linotype" w:hAnsi="Palatino Linotype" w:cs="Arial"/>
          <w:i/>
          <w:sz w:val="22"/>
        </w:rPr>
        <w:t>siguiente:</w:t>
      </w:r>
    </w:p>
    <w:p w:rsidR="004D2C13" w:rsidRPr="004D2C13" w:rsidRDefault="004D2C13" w:rsidP="004D2C13">
      <w:pPr>
        <w:ind w:left="709" w:right="474"/>
        <w:jc w:val="both"/>
        <w:rPr>
          <w:rFonts w:ascii="Palatino Linotype" w:hAnsi="Palatino Linotype" w:cs="Arial"/>
          <w:i/>
          <w:sz w:val="22"/>
        </w:rPr>
      </w:pPr>
    </w:p>
    <w:p w:rsidR="004D2C13" w:rsidRPr="007A4636" w:rsidRDefault="004D2C13" w:rsidP="004D2C13">
      <w:pPr>
        <w:ind w:left="709" w:right="474"/>
        <w:jc w:val="both"/>
        <w:rPr>
          <w:rFonts w:ascii="Palatino Linotype" w:hAnsi="Palatino Linotype" w:cs="Arial"/>
          <w:b/>
          <w:i/>
          <w:sz w:val="22"/>
        </w:rPr>
      </w:pPr>
      <w:r w:rsidRPr="007A4636">
        <w:rPr>
          <w:rFonts w:ascii="Palatino Linotype" w:hAnsi="Palatino Linotype" w:cs="Arial"/>
          <w:b/>
          <w:i/>
          <w:sz w:val="22"/>
        </w:rPr>
        <w:t>I. Tipo de servicio o bienes que presten o suministren;</w:t>
      </w:r>
    </w:p>
    <w:p w:rsidR="004D2C13" w:rsidRPr="007A4636" w:rsidRDefault="004D2C13" w:rsidP="004D2C13">
      <w:pPr>
        <w:ind w:left="709" w:right="474"/>
        <w:jc w:val="both"/>
        <w:rPr>
          <w:rFonts w:ascii="Palatino Linotype" w:hAnsi="Palatino Linotype" w:cs="Arial"/>
          <w:b/>
          <w:i/>
          <w:sz w:val="22"/>
        </w:rPr>
      </w:pPr>
    </w:p>
    <w:p w:rsidR="004D2C13" w:rsidRPr="007A4636" w:rsidRDefault="004D2C13" w:rsidP="004D2C13">
      <w:pPr>
        <w:ind w:left="709" w:right="474"/>
        <w:jc w:val="both"/>
        <w:rPr>
          <w:rFonts w:ascii="Palatino Linotype" w:hAnsi="Palatino Linotype" w:cs="Arial"/>
          <w:b/>
          <w:i/>
          <w:sz w:val="22"/>
        </w:rPr>
      </w:pPr>
      <w:r w:rsidRPr="007A4636">
        <w:rPr>
          <w:rFonts w:ascii="Palatino Linotype" w:hAnsi="Palatino Linotype" w:cs="Arial"/>
          <w:b/>
          <w:i/>
          <w:sz w:val="22"/>
        </w:rPr>
        <w:t>II. Nombre, denominación o razón social de la persona que preste el servicio o suministre los bienes;</w:t>
      </w:r>
    </w:p>
    <w:p w:rsidR="004D2C13" w:rsidRPr="007A4636" w:rsidRDefault="004D2C13" w:rsidP="004D2C13">
      <w:pPr>
        <w:ind w:left="709" w:right="474"/>
        <w:jc w:val="both"/>
        <w:rPr>
          <w:rFonts w:ascii="Palatino Linotype" w:hAnsi="Palatino Linotype" w:cs="Arial"/>
          <w:b/>
          <w:i/>
          <w:sz w:val="22"/>
        </w:rPr>
      </w:pPr>
    </w:p>
    <w:p w:rsidR="004D2C13" w:rsidRPr="007A4636" w:rsidRDefault="004D2C13" w:rsidP="004D2C13">
      <w:pPr>
        <w:ind w:left="709" w:right="474"/>
        <w:jc w:val="both"/>
        <w:rPr>
          <w:rFonts w:ascii="Palatino Linotype" w:hAnsi="Palatino Linotype" w:cs="Arial"/>
          <w:b/>
          <w:i/>
          <w:sz w:val="22"/>
        </w:rPr>
      </w:pPr>
      <w:r w:rsidRPr="007A4636">
        <w:rPr>
          <w:rFonts w:ascii="Palatino Linotype" w:hAnsi="Palatino Linotype" w:cs="Arial"/>
          <w:b/>
          <w:i/>
          <w:sz w:val="22"/>
        </w:rPr>
        <w:t>III. Teléfono y correo electrónico;</w:t>
      </w:r>
    </w:p>
    <w:p w:rsidR="004D2C13" w:rsidRPr="007A4636" w:rsidRDefault="004D2C13" w:rsidP="004D2C13">
      <w:pPr>
        <w:ind w:left="709" w:right="474"/>
        <w:jc w:val="both"/>
        <w:rPr>
          <w:rFonts w:ascii="Palatino Linotype" w:hAnsi="Palatino Linotype" w:cs="Arial"/>
          <w:b/>
          <w:i/>
          <w:sz w:val="22"/>
        </w:rPr>
      </w:pPr>
    </w:p>
    <w:p w:rsidR="004D2C13" w:rsidRPr="007A4636" w:rsidRDefault="004D2C13" w:rsidP="004D2C13">
      <w:pPr>
        <w:ind w:left="709" w:right="474"/>
        <w:jc w:val="both"/>
        <w:rPr>
          <w:rFonts w:ascii="Palatino Linotype" w:hAnsi="Palatino Linotype" w:cs="Arial"/>
          <w:b/>
          <w:i/>
          <w:sz w:val="22"/>
        </w:rPr>
      </w:pPr>
      <w:r w:rsidRPr="007A4636">
        <w:rPr>
          <w:rFonts w:ascii="Palatino Linotype" w:hAnsi="Palatino Linotype" w:cs="Arial"/>
          <w:b/>
          <w:i/>
          <w:sz w:val="22"/>
        </w:rPr>
        <w:t>IV. Domicilio fiscal y/o legal de la persona prestadora del servicio o proveedora de los bienes; y</w:t>
      </w:r>
    </w:p>
    <w:p w:rsidR="004D2C13" w:rsidRPr="007A4636" w:rsidRDefault="004D2C13" w:rsidP="004D2C13">
      <w:pPr>
        <w:ind w:left="709" w:right="474"/>
        <w:jc w:val="both"/>
        <w:rPr>
          <w:rFonts w:ascii="Palatino Linotype" w:hAnsi="Palatino Linotype" w:cs="Arial"/>
          <w:b/>
          <w:i/>
          <w:sz w:val="22"/>
        </w:rPr>
      </w:pPr>
    </w:p>
    <w:p w:rsidR="004D2C13" w:rsidRPr="007A4636" w:rsidRDefault="004D2C13" w:rsidP="004D2C13">
      <w:pPr>
        <w:ind w:left="709" w:right="474"/>
        <w:jc w:val="both"/>
        <w:rPr>
          <w:rFonts w:ascii="Palatino Linotype" w:hAnsi="Palatino Linotype" w:cs="Arial"/>
          <w:b/>
          <w:i/>
          <w:sz w:val="22"/>
        </w:rPr>
      </w:pPr>
      <w:r w:rsidRPr="007A4636">
        <w:rPr>
          <w:rFonts w:ascii="Palatino Linotype" w:hAnsi="Palatino Linotype" w:cs="Arial"/>
          <w:b/>
          <w:i/>
          <w:sz w:val="22"/>
        </w:rPr>
        <w:t>V. Los demás requisitos que se consideren necesarios para la adecuada integración de los catálogos.</w:t>
      </w:r>
    </w:p>
    <w:p w:rsidR="004D2C13" w:rsidRDefault="004D2C13" w:rsidP="00B06D8A">
      <w:pPr>
        <w:spacing w:line="360" w:lineRule="auto"/>
        <w:jc w:val="both"/>
        <w:rPr>
          <w:rFonts w:ascii="Palatino Linotype" w:hAnsi="Palatino Linotype" w:cs="Arial"/>
        </w:rPr>
      </w:pPr>
    </w:p>
    <w:p w:rsidR="009C7575" w:rsidRDefault="00B06D8A" w:rsidP="009C7575">
      <w:pPr>
        <w:spacing w:line="360" w:lineRule="auto"/>
        <w:jc w:val="both"/>
        <w:rPr>
          <w:rFonts w:ascii="Palatino Linotype" w:hAnsi="Palatino Linotype" w:cs="Arial"/>
        </w:rPr>
      </w:pPr>
      <w:r>
        <w:rPr>
          <w:rFonts w:ascii="Palatino Linotype" w:hAnsi="Palatino Linotype" w:cs="Arial"/>
        </w:rPr>
        <w:t xml:space="preserve">Así, es que </w:t>
      </w:r>
      <w:r>
        <w:rPr>
          <w:rFonts w:ascii="Palatino Linotype" w:hAnsi="Palatino Linotype" w:cs="Arial"/>
          <w:b/>
        </w:rPr>
        <w:t xml:space="preserve">EL SUJETO OBLIGADO </w:t>
      </w:r>
      <w:r>
        <w:rPr>
          <w:rFonts w:ascii="Palatino Linotype" w:hAnsi="Palatino Linotype" w:cs="Arial"/>
        </w:rPr>
        <w:t xml:space="preserve">dio respuesta a cada uno de los requerimientos del </w:t>
      </w:r>
      <w:r>
        <w:rPr>
          <w:rFonts w:ascii="Palatino Linotype" w:hAnsi="Palatino Linotype" w:cs="Arial"/>
          <w:b/>
        </w:rPr>
        <w:t>RECURRENTE</w:t>
      </w:r>
      <w:r>
        <w:rPr>
          <w:rFonts w:ascii="Palatino Linotype" w:hAnsi="Palatino Linotype" w:cs="Arial"/>
        </w:rPr>
        <w:t xml:space="preserve">, </w:t>
      </w:r>
      <w:r w:rsidR="007A4636">
        <w:rPr>
          <w:rFonts w:ascii="Palatino Linotype" w:hAnsi="Palatino Linotype" w:cs="Arial"/>
        </w:rPr>
        <w:t xml:space="preserve">pues si bien es cierto que el ahora </w:t>
      </w:r>
      <w:r w:rsidR="007A4636">
        <w:rPr>
          <w:rFonts w:ascii="Palatino Linotype" w:hAnsi="Palatino Linotype" w:cs="Arial"/>
          <w:b/>
        </w:rPr>
        <w:t xml:space="preserve">RECURRENTE </w:t>
      </w:r>
      <w:r w:rsidR="007A4636" w:rsidRPr="007A4636">
        <w:rPr>
          <w:rFonts w:ascii="Palatino Linotype" w:hAnsi="Palatino Linotype" w:cs="Arial"/>
        </w:rPr>
        <w:t>se inconforma en razón de que no le fueron otorgadas las actas constitutivas</w:t>
      </w:r>
      <w:r w:rsidR="007A4636">
        <w:rPr>
          <w:rFonts w:ascii="Palatino Linotype" w:hAnsi="Palatino Linotype" w:cs="Arial"/>
          <w:b/>
        </w:rPr>
        <w:t xml:space="preserve"> </w:t>
      </w:r>
      <w:r w:rsidR="007A4636">
        <w:rPr>
          <w:rFonts w:ascii="Palatino Linotype" w:hAnsi="Palatino Linotype" w:cs="Arial"/>
        </w:rPr>
        <w:t xml:space="preserve">de los proveedores, lo cierto es que en su solicitud inicial </w:t>
      </w:r>
      <w:r w:rsidR="007A4636" w:rsidRPr="007A4636">
        <w:rPr>
          <w:rFonts w:ascii="Palatino Linotype" w:hAnsi="Palatino Linotype" w:cs="Arial"/>
          <w:b/>
        </w:rPr>
        <w:t>ÚNICAMENTE</w:t>
      </w:r>
      <w:r w:rsidR="007A4636">
        <w:rPr>
          <w:rFonts w:ascii="Palatino Linotype" w:hAnsi="Palatino Linotype" w:cs="Arial"/>
        </w:rPr>
        <w:t xml:space="preserve"> requirió “</w:t>
      </w:r>
      <w:r w:rsidR="007A4636">
        <w:rPr>
          <w:rFonts w:ascii="Palatino Linotype" w:hAnsi="Palatino Linotype" w:cs="Arial"/>
          <w:i/>
        </w:rPr>
        <w:t xml:space="preserve">El </w:t>
      </w:r>
      <w:r w:rsidR="007A4636" w:rsidRPr="007A4636">
        <w:rPr>
          <w:rFonts w:ascii="Palatino Linotype" w:hAnsi="Palatino Linotype" w:cs="Arial"/>
          <w:i/>
        </w:rPr>
        <w:t>catálogo o padrón de proveedores de bienes y servicios del Ayuntamiento</w:t>
      </w:r>
      <w:r w:rsidR="007A4636">
        <w:rPr>
          <w:rFonts w:ascii="Palatino Linotype" w:hAnsi="Palatino Linotype" w:cs="Arial"/>
          <w:i/>
        </w:rPr>
        <w:t xml:space="preserve">” </w:t>
      </w:r>
      <w:r w:rsidR="007A4636" w:rsidRPr="007A4636">
        <w:rPr>
          <w:rFonts w:ascii="Palatino Linotype" w:hAnsi="Palatino Linotype" w:cs="Arial"/>
        </w:rPr>
        <w:t>donde se pudieran advertir sus datos de identificación y localización</w:t>
      </w:r>
      <w:r w:rsidR="007A4636">
        <w:rPr>
          <w:rFonts w:ascii="Palatino Linotype" w:hAnsi="Palatino Linotype" w:cs="Arial"/>
          <w:i/>
        </w:rPr>
        <w:t xml:space="preserve"> </w:t>
      </w:r>
      <w:r w:rsidR="007A4636">
        <w:rPr>
          <w:rFonts w:ascii="Palatino Linotype" w:hAnsi="Palatino Linotype" w:cs="Arial"/>
        </w:rPr>
        <w:t xml:space="preserve">enlistando una serie de documentos y datos que de manera enunciativa pudiera contener para, de nueva cuenta, su </w:t>
      </w:r>
      <w:r w:rsidR="007A4636" w:rsidRPr="007A4636">
        <w:rPr>
          <w:rFonts w:ascii="Palatino Linotype" w:hAnsi="Palatino Linotype" w:cs="Arial"/>
          <w:b/>
          <w:i/>
        </w:rPr>
        <w:t>identificación y localización</w:t>
      </w:r>
      <w:r w:rsidR="00603032">
        <w:rPr>
          <w:rFonts w:ascii="Palatino Linotype" w:hAnsi="Palatino Linotype" w:cs="Arial"/>
          <w:b/>
          <w:i/>
        </w:rPr>
        <w:t>;</w:t>
      </w:r>
      <w:r w:rsidR="007A4636">
        <w:rPr>
          <w:rFonts w:ascii="Palatino Linotype" w:hAnsi="Palatino Linotype" w:cs="Arial"/>
          <w:i/>
        </w:rPr>
        <w:t xml:space="preserve"> </w:t>
      </w:r>
      <w:r w:rsidR="007A4636">
        <w:rPr>
          <w:rFonts w:ascii="Palatino Linotype" w:hAnsi="Palatino Linotype" w:cs="Arial"/>
        </w:rPr>
        <w:t>por lo que</w:t>
      </w:r>
      <w:r w:rsidR="00603032">
        <w:rPr>
          <w:rFonts w:ascii="Palatino Linotype" w:hAnsi="Palatino Linotype" w:cs="Arial"/>
        </w:rPr>
        <w:t>,</w:t>
      </w:r>
      <w:r w:rsidR="007A4636">
        <w:rPr>
          <w:rFonts w:ascii="Palatino Linotype" w:hAnsi="Palatino Linotype" w:cs="Arial"/>
        </w:rPr>
        <w:t xml:space="preserve"> se </w:t>
      </w:r>
      <w:r w:rsidR="00603032">
        <w:rPr>
          <w:rFonts w:ascii="Palatino Linotype" w:hAnsi="Palatino Linotype" w:cs="Arial"/>
        </w:rPr>
        <w:t xml:space="preserve">considera que al momento de su solicitud, </w:t>
      </w:r>
      <w:r w:rsidR="00603032">
        <w:rPr>
          <w:rFonts w:ascii="Palatino Linotype" w:hAnsi="Palatino Linotype" w:cs="Arial"/>
          <w:b/>
        </w:rPr>
        <w:t>EL RECURRENTE</w:t>
      </w:r>
      <w:r w:rsidR="00603032">
        <w:rPr>
          <w:rFonts w:ascii="Palatino Linotype" w:hAnsi="Palatino Linotype" w:cs="Arial"/>
        </w:rPr>
        <w:t xml:space="preserve"> no </w:t>
      </w:r>
      <w:r w:rsidR="000615A6">
        <w:rPr>
          <w:rFonts w:ascii="Palatino Linotype" w:hAnsi="Palatino Linotype" w:cs="Arial"/>
        </w:rPr>
        <w:t xml:space="preserve">requirió </w:t>
      </w:r>
      <w:r w:rsidR="00603032">
        <w:rPr>
          <w:rFonts w:ascii="Palatino Linotype" w:hAnsi="Palatino Linotype" w:cs="Arial"/>
        </w:rPr>
        <w:t>como</w:t>
      </w:r>
      <w:r w:rsidR="000615A6">
        <w:rPr>
          <w:rFonts w:ascii="Palatino Linotype" w:hAnsi="Palatino Linotype" w:cs="Arial"/>
        </w:rPr>
        <w:t xml:space="preserve"> tal, el</w:t>
      </w:r>
      <w:r w:rsidR="00603032">
        <w:rPr>
          <w:rFonts w:ascii="Palatino Linotype" w:hAnsi="Palatino Linotype" w:cs="Arial"/>
        </w:rPr>
        <w:t xml:space="preserve"> documento</w:t>
      </w:r>
      <w:r w:rsidR="000615A6">
        <w:rPr>
          <w:rFonts w:ascii="Palatino Linotype" w:hAnsi="Palatino Linotype" w:cs="Arial"/>
        </w:rPr>
        <w:t xml:space="preserve"> consistente en</w:t>
      </w:r>
      <w:r w:rsidR="00603032">
        <w:rPr>
          <w:rFonts w:ascii="Palatino Linotype" w:hAnsi="Palatino Linotype" w:cs="Arial"/>
        </w:rPr>
        <w:t xml:space="preserve"> las actas constitutivas de los proveedores, sino que esto fue hasta la interposición del recurso de revisión</w:t>
      </w:r>
      <w:r w:rsidR="00C16D39">
        <w:rPr>
          <w:rFonts w:ascii="Palatino Linotype" w:hAnsi="Palatino Linotype" w:cs="Arial"/>
        </w:rPr>
        <w:t>.</w:t>
      </w:r>
      <w:r w:rsidR="00603032">
        <w:rPr>
          <w:rFonts w:ascii="Palatino Linotype" w:hAnsi="Palatino Linotype" w:cs="Arial"/>
        </w:rPr>
        <w:t xml:space="preserve"> </w:t>
      </w:r>
    </w:p>
    <w:p w:rsidR="009C7575" w:rsidRDefault="009C7575" w:rsidP="009C7575">
      <w:pPr>
        <w:spacing w:line="360" w:lineRule="auto"/>
        <w:jc w:val="both"/>
        <w:rPr>
          <w:rFonts w:ascii="Palatino Linotype" w:hAnsi="Palatino Linotype" w:cs="Arial"/>
        </w:rPr>
      </w:pPr>
    </w:p>
    <w:p w:rsidR="009C7575" w:rsidRDefault="009C7575" w:rsidP="009C7575">
      <w:pPr>
        <w:spacing w:line="360" w:lineRule="auto"/>
        <w:jc w:val="both"/>
        <w:rPr>
          <w:rFonts w:ascii="Palatino Linotype" w:hAnsi="Palatino Linotype" w:cs="Arial"/>
          <w:lang w:eastAsia="es-MX"/>
        </w:rPr>
      </w:pPr>
      <w:r>
        <w:rPr>
          <w:rFonts w:ascii="Palatino Linotype" w:hAnsi="Palatino Linotype" w:cs="Arial"/>
          <w:lang w:eastAsia="es-MX"/>
        </w:rPr>
        <w:t xml:space="preserve">En ese sentido, </w:t>
      </w:r>
      <w:r>
        <w:rPr>
          <w:rFonts w:ascii="Palatino Linotype" w:hAnsi="Palatino Linotype" w:cs="Arial"/>
          <w:color w:val="000000"/>
        </w:rPr>
        <w:t xml:space="preserve">al tratarse de </w:t>
      </w:r>
      <w:r w:rsidRPr="00D666E4">
        <w:rPr>
          <w:rFonts w:ascii="Palatino Linotype" w:hAnsi="Palatino Linotype" w:cs="Arial"/>
        </w:rPr>
        <w:t xml:space="preserve">una petición adicional o </w:t>
      </w:r>
      <w:r w:rsidRPr="00D666E4">
        <w:rPr>
          <w:rFonts w:ascii="Palatino Linotype" w:hAnsi="Palatino Linotype" w:cs="Arial"/>
          <w:i/>
        </w:rPr>
        <w:t xml:space="preserve">plus </w:t>
      </w:r>
      <w:proofErr w:type="spellStart"/>
      <w:r w:rsidRPr="00D666E4">
        <w:rPr>
          <w:rFonts w:ascii="Palatino Linotype" w:hAnsi="Palatino Linotype" w:cs="Arial"/>
          <w:i/>
        </w:rPr>
        <w:t>petitio</w:t>
      </w:r>
      <w:proofErr w:type="spellEnd"/>
      <w:r w:rsidRPr="00D666E4">
        <w:rPr>
          <w:rFonts w:ascii="Palatino Linotype" w:hAnsi="Palatino Linotype" w:cs="Arial"/>
        </w:rPr>
        <w:t>; esto es,</w:t>
      </w:r>
      <w:r>
        <w:rPr>
          <w:rFonts w:ascii="Palatino Linotype" w:hAnsi="Palatino Linotype" w:cs="Arial"/>
        </w:rPr>
        <w:t xml:space="preserve"> la intención de acceder a nueva información mediante la interposición del recurso de revisión</w:t>
      </w:r>
      <w:r>
        <w:rPr>
          <w:rFonts w:ascii="Palatino Linotype" w:hAnsi="Palatino Linotype" w:cs="Arial"/>
          <w:lang w:eastAsia="es-MX"/>
        </w:rPr>
        <w:t xml:space="preserve">, </w:t>
      </w:r>
      <w:r w:rsidRPr="00D666E4">
        <w:rPr>
          <w:rFonts w:ascii="Palatino Linotype" w:hAnsi="Palatino Linotype" w:cs="Arial"/>
          <w:lang w:eastAsia="es-MX"/>
        </w:rPr>
        <w:t>resultaría injustificado examinar</w:t>
      </w:r>
      <w:r>
        <w:rPr>
          <w:rFonts w:ascii="Palatino Linotype" w:hAnsi="Palatino Linotype" w:cs="Arial"/>
          <w:lang w:eastAsia="es-MX"/>
        </w:rPr>
        <w:t xml:space="preserve"> dichos cuestionamientos, máxime que </w:t>
      </w:r>
      <w:r w:rsidRPr="00167532">
        <w:rPr>
          <w:rFonts w:ascii="Palatino Linotype" w:hAnsi="Palatino Linotype" w:cs="Arial"/>
          <w:b/>
          <w:lang w:eastAsia="es-MX"/>
        </w:rPr>
        <w:t>EL SUJETO OBLIGADO</w:t>
      </w:r>
      <w:r>
        <w:rPr>
          <w:rFonts w:ascii="Palatino Linotype" w:hAnsi="Palatino Linotype" w:cs="Arial"/>
          <w:lang w:eastAsia="es-MX"/>
        </w:rPr>
        <w:t>, no tuvo conocimiento de éstos, hasta la interposición del recurso de mérito</w:t>
      </w:r>
      <w:r w:rsidRPr="00D666E4">
        <w:rPr>
          <w:rFonts w:ascii="Palatino Linotype" w:hAnsi="Palatino Linotype" w:cs="Arial"/>
          <w:lang w:eastAsia="es-MX"/>
        </w:rPr>
        <w:t>.</w:t>
      </w:r>
      <w:r>
        <w:rPr>
          <w:rFonts w:ascii="Palatino Linotype" w:hAnsi="Palatino Linotype" w:cs="Arial"/>
          <w:lang w:eastAsia="es-MX"/>
        </w:rPr>
        <w:t xml:space="preserve"> </w:t>
      </w:r>
    </w:p>
    <w:p w:rsidR="009C7575" w:rsidRDefault="009C7575" w:rsidP="009C7575">
      <w:pPr>
        <w:spacing w:line="360" w:lineRule="auto"/>
        <w:jc w:val="both"/>
        <w:rPr>
          <w:rFonts w:ascii="Palatino Linotype" w:hAnsi="Palatino Linotype" w:cs="Arial"/>
          <w:lang w:eastAsia="es-MX"/>
        </w:rPr>
      </w:pPr>
    </w:p>
    <w:p w:rsidR="009C7575" w:rsidRDefault="009C7575" w:rsidP="009C7575">
      <w:pPr>
        <w:spacing w:line="360" w:lineRule="auto"/>
        <w:jc w:val="both"/>
        <w:rPr>
          <w:rFonts w:ascii="Palatino Linotype" w:hAnsi="Palatino Linotype" w:cs="Arial"/>
          <w:lang w:eastAsia="es-MX"/>
        </w:rPr>
      </w:pPr>
      <w:r w:rsidRPr="00593328">
        <w:rPr>
          <w:rFonts w:ascii="Palatino Linotype" w:hAnsi="Palatino Linotype" w:cs="Arial"/>
          <w:lang w:eastAsia="es-MX"/>
        </w:rPr>
        <w:t>Sirve de apoyo por analogía la</w:t>
      </w:r>
      <w:r>
        <w:rPr>
          <w:rFonts w:ascii="Palatino Linotype" w:hAnsi="Palatino Linotype" w:cs="Arial"/>
          <w:lang w:eastAsia="es-MX"/>
        </w:rPr>
        <w:t xml:space="preserve"> siguiente</w:t>
      </w:r>
      <w:r w:rsidRPr="00593328">
        <w:rPr>
          <w:rFonts w:ascii="Palatino Linotype" w:hAnsi="Palatino Linotype" w:cs="Arial"/>
          <w:lang w:eastAsia="es-MX"/>
        </w:rPr>
        <w:t xml:space="preserve"> tesis jurisprudencial número VI. 2º. A. J/7</w:t>
      </w:r>
      <w:r>
        <w:rPr>
          <w:rFonts w:ascii="Palatino Linotype" w:hAnsi="Palatino Linotype" w:cs="Arial"/>
          <w:lang w:eastAsia="es-MX"/>
        </w:rPr>
        <w:t>, p</w:t>
      </w:r>
      <w:r w:rsidRPr="00593328">
        <w:rPr>
          <w:rFonts w:ascii="Palatino Linotype" w:hAnsi="Palatino Linotype" w:cs="Arial"/>
          <w:lang w:eastAsia="es-MX"/>
        </w:rPr>
        <w:t>ublicada en el Semanario Judicial de la Federación y su gaceta</w:t>
      </w:r>
      <w:r>
        <w:rPr>
          <w:rFonts w:ascii="Palatino Linotype" w:hAnsi="Palatino Linotype" w:cs="Arial"/>
          <w:lang w:eastAsia="es-MX"/>
        </w:rPr>
        <w:t>,</w:t>
      </w:r>
      <w:r w:rsidRPr="00593328">
        <w:rPr>
          <w:rFonts w:ascii="Palatino Linotype" w:hAnsi="Palatino Linotype" w:cs="Arial"/>
          <w:lang w:eastAsia="es-MX"/>
        </w:rPr>
        <w:t xml:space="preserve"> bajo el número de registro 178,788</w:t>
      </w:r>
      <w:r>
        <w:rPr>
          <w:rFonts w:ascii="Palatino Linotype" w:hAnsi="Palatino Linotype" w:cs="Arial"/>
          <w:lang w:eastAsia="es-MX"/>
        </w:rPr>
        <w:t>:</w:t>
      </w:r>
    </w:p>
    <w:p w:rsidR="009C7575" w:rsidRDefault="009C7575" w:rsidP="009C7575">
      <w:pPr>
        <w:spacing w:line="360" w:lineRule="auto"/>
        <w:jc w:val="both"/>
        <w:rPr>
          <w:rFonts w:ascii="Palatino Linotype" w:hAnsi="Palatino Linotype" w:cs="Arial"/>
          <w:lang w:eastAsia="es-MX"/>
        </w:rPr>
      </w:pPr>
    </w:p>
    <w:p w:rsidR="009C7575" w:rsidRDefault="009C7575" w:rsidP="009C7575">
      <w:pPr>
        <w:ind w:left="709" w:right="474"/>
        <w:jc w:val="both"/>
        <w:rPr>
          <w:rFonts w:ascii="Palatino Linotype" w:hAnsi="Palatino Linotype" w:cs="Arial"/>
          <w:i/>
          <w:sz w:val="22"/>
          <w:szCs w:val="21"/>
        </w:rPr>
      </w:pPr>
      <w:r w:rsidRPr="00F35B8B">
        <w:rPr>
          <w:rFonts w:ascii="Palatino Linotype" w:hAnsi="Palatino Linotype" w:cs="Arial"/>
          <w:sz w:val="22"/>
          <w:szCs w:val="21"/>
          <w:lang w:eastAsia="es-MX"/>
        </w:rPr>
        <w:t>“</w:t>
      </w:r>
      <w:r w:rsidRPr="00F35B8B">
        <w:rPr>
          <w:rFonts w:ascii="Palatino Linotype" w:hAnsi="Palatino Linotype" w:cs="Arial"/>
          <w:i/>
          <w:sz w:val="22"/>
          <w:szCs w:val="21"/>
        </w:rPr>
        <w:t xml:space="preserve">CONCEPTOS DE VIOLACIÓN EN EL AMPARO DIRECTO. </w:t>
      </w:r>
      <w:r w:rsidRPr="00F35B8B">
        <w:rPr>
          <w:rFonts w:ascii="Palatino Linotype" w:hAnsi="Palatino Linotype" w:cs="Arial"/>
          <w:b/>
          <w:i/>
          <w:sz w:val="22"/>
          <w:szCs w:val="21"/>
        </w:rPr>
        <w:t>INOPERANCIA DE LOS QUE INTRODUCEN CUESTIONAMIENTOS NOVEDOSOS QUE NO FUERON PLANTEADOS EN EL JUICIO NATURAL</w:t>
      </w:r>
      <w:r w:rsidRPr="00F35B8B">
        <w:rPr>
          <w:rFonts w:ascii="Palatino Linotype" w:hAnsi="Palatino Linotype" w:cs="Arial"/>
          <w:i/>
          <w:sz w:val="22"/>
          <w:szCs w:val="21"/>
        </w:rPr>
        <w:t xml:space="preserve">. </w:t>
      </w:r>
      <w:r w:rsidRPr="00F35B8B">
        <w:rPr>
          <w:rFonts w:ascii="Palatino Linotype" w:hAnsi="Palatino Linotype" w:cs="Arial"/>
          <w:b/>
          <w:i/>
          <w:sz w:val="22"/>
          <w:szCs w:val="21"/>
        </w:rPr>
        <w:t>Si en los conceptos de violación se formulan argumentos que no se plantearon</w:t>
      </w:r>
      <w:r w:rsidRPr="00F35B8B">
        <w:rPr>
          <w:rFonts w:ascii="Palatino Linotype" w:hAnsi="Palatino Linotype" w:cs="Arial"/>
          <w:i/>
          <w:sz w:val="22"/>
          <w:szCs w:val="21"/>
        </w:rPr>
        <w:t xml:space="preserve"> ante la Sala Fiscal que dictó la sentencia que constituye el acto reclamado, </w:t>
      </w:r>
      <w:r w:rsidRPr="00F35B8B">
        <w:rPr>
          <w:rFonts w:ascii="Palatino Linotype" w:hAnsi="Palatino Linotype" w:cs="Arial"/>
          <w:b/>
          <w:i/>
          <w:sz w:val="22"/>
          <w:szCs w:val="21"/>
        </w:rPr>
        <w:t xml:space="preserve">los mismos son </w:t>
      </w:r>
      <w:r w:rsidRPr="00F35B8B">
        <w:rPr>
          <w:rFonts w:ascii="Palatino Linotype" w:hAnsi="Palatino Linotype" w:cs="Arial"/>
          <w:i/>
          <w:sz w:val="22"/>
          <w:szCs w:val="21"/>
        </w:rPr>
        <w:t xml:space="preserve">inoperantes, toda vez que resultaría injustificado examinar la constitucionalidad de la sentencia combatida </w:t>
      </w:r>
      <w:r w:rsidRPr="00F35B8B">
        <w:rPr>
          <w:rFonts w:ascii="Palatino Linotype" w:hAnsi="Palatino Linotype" w:cs="Arial"/>
          <w:b/>
          <w:i/>
          <w:sz w:val="22"/>
          <w:szCs w:val="21"/>
        </w:rPr>
        <w:t>a la luz de razonamientos que no conoció la autoridad responsable</w:t>
      </w:r>
      <w:r w:rsidRPr="00F35B8B">
        <w:rPr>
          <w:rFonts w:ascii="Palatino Linotype" w:hAnsi="Palatino Linotype" w:cs="Arial"/>
          <w:i/>
          <w:sz w:val="22"/>
          <w:szCs w:val="21"/>
        </w:rPr>
        <w:t xml:space="preserve">, </w:t>
      </w:r>
      <w:r w:rsidRPr="00F35B8B">
        <w:rPr>
          <w:rFonts w:ascii="Palatino Linotype" w:hAnsi="Palatino Linotype" w:cs="Arial"/>
          <w:b/>
          <w:i/>
          <w:sz w:val="22"/>
          <w:szCs w:val="21"/>
        </w:rPr>
        <w:t xml:space="preserve">pues como tales manifestaciones no formaron parte de la </w:t>
      </w:r>
      <w:proofErr w:type="spellStart"/>
      <w:r w:rsidRPr="00F35B8B">
        <w:rPr>
          <w:rFonts w:ascii="Palatino Linotype" w:hAnsi="Palatino Linotype" w:cs="Arial"/>
          <w:b/>
          <w:i/>
          <w:sz w:val="22"/>
          <w:szCs w:val="21"/>
        </w:rPr>
        <w:t>litis</w:t>
      </w:r>
      <w:proofErr w:type="spellEnd"/>
      <w:r w:rsidRPr="00F35B8B">
        <w:rPr>
          <w:rFonts w:ascii="Palatino Linotype" w:hAnsi="Palatino Linotype" w:cs="Arial"/>
          <w:b/>
          <w:i/>
          <w:sz w:val="22"/>
          <w:szCs w:val="21"/>
        </w:rPr>
        <w:t xml:space="preserve"> natural</w:t>
      </w:r>
      <w:r w:rsidRPr="00F35B8B">
        <w:rPr>
          <w:rFonts w:ascii="Palatino Linotype" w:hAnsi="Palatino Linotype" w:cs="Arial"/>
          <w:i/>
          <w:sz w:val="22"/>
          <w:szCs w:val="21"/>
        </w:rPr>
        <w:t xml:space="preserve">, la Sala </w:t>
      </w:r>
      <w:r w:rsidRPr="00F35B8B">
        <w:rPr>
          <w:rFonts w:ascii="Palatino Linotype" w:hAnsi="Palatino Linotype" w:cs="Arial"/>
          <w:b/>
          <w:i/>
          <w:sz w:val="22"/>
          <w:szCs w:val="21"/>
        </w:rPr>
        <w:t>no tuvo la oportunidad legal de analizarlas ni de pronunciarse sobre ellas</w:t>
      </w:r>
      <w:r w:rsidRPr="00F35B8B">
        <w:rPr>
          <w:rFonts w:ascii="Palatino Linotype" w:hAnsi="Palatino Linotype" w:cs="Arial"/>
          <w:i/>
          <w:sz w:val="22"/>
          <w:szCs w:val="21"/>
        </w:rPr>
        <w:t>.</w:t>
      </w:r>
    </w:p>
    <w:p w:rsidR="009C7575" w:rsidRDefault="009C7575" w:rsidP="009C7575">
      <w:pPr>
        <w:ind w:left="709" w:right="474"/>
        <w:jc w:val="both"/>
        <w:rPr>
          <w:rFonts w:ascii="Palatino Linotype" w:hAnsi="Palatino Linotype" w:cs="Arial"/>
          <w:i/>
          <w:sz w:val="22"/>
          <w:szCs w:val="21"/>
        </w:rPr>
      </w:pPr>
    </w:p>
    <w:p w:rsidR="009C7575" w:rsidRDefault="009C7575" w:rsidP="009C7575">
      <w:pPr>
        <w:ind w:left="709" w:right="474"/>
        <w:jc w:val="both"/>
        <w:rPr>
          <w:rFonts w:ascii="Palatino Linotype" w:hAnsi="Palatino Linotype" w:cs="Arial"/>
          <w:i/>
          <w:sz w:val="22"/>
          <w:szCs w:val="21"/>
        </w:rPr>
      </w:pPr>
      <w:r w:rsidRPr="00F35B8B">
        <w:rPr>
          <w:rFonts w:ascii="Palatino Linotype" w:hAnsi="Palatino Linotype" w:cs="Arial"/>
          <w:i/>
          <w:sz w:val="22"/>
          <w:szCs w:val="21"/>
        </w:rPr>
        <w:t>SEGUNDO TRIBUNAL COLEGIADO EN MATERIA ADMINISTRATIVA DEL SEXTO CIRCUITO.</w:t>
      </w:r>
    </w:p>
    <w:p w:rsidR="009C7575" w:rsidRDefault="009C7575" w:rsidP="009C7575">
      <w:pPr>
        <w:ind w:left="709" w:right="474"/>
        <w:jc w:val="both"/>
        <w:rPr>
          <w:rFonts w:ascii="Palatino Linotype" w:hAnsi="Palatino Linotype" w:cs="Arial"/>
          <w:i/>
          <w:sz w:val="22"/>
          <w:szCs w:val="21"/>
        </w:rPr>
      </w:pPr>
    </w:p>
    <w:p w:rsidR="009C7575" w:rsidRDefault="009C7575" w:rsidP="009C7575">
      <w:pPr>
        <w:ind w:left="709" w:right="474"/>
        <w:jc w:val="both"/>
        <w:rPr>
          <w:rFonts w:ascii="Palatino Linotype" w:hAnsi="Palatino Linotype" w:cs="Arial"/>
          <w:i/>
          <w:sz w:val="22"/>
          <w:szCs w:val="21"/>
        </w:rPr>
      </w:pPr>
      <w:r w:rsidRPr="00F35B8B">
        <w:rPr>
          <w:rFonts w:ascii="Palatino Linotype" w:hAnsi="Palatino Linotype" w:cs="Arial"/>
          <w:i/>
          <w:sz w:val="22"/>
          <w:szCs w:val="21"/>
        </w:rPr>
        <w:t>Amparo directo 338/2001. Hilados de Lana, S.A. de C.V. 31 de octubre de 2001. Unanimidad de votos. Ponente: Amanda R. García González. Secretaria: Fernanda María Adela Talavera Díaz.</w:t>
      </w:r>
    </w:p>
    <w:p w:rsidR="009C7575" w:rsidRDefault="009C7575" w:rsidP="009C7575">
      <w:pPr>
        <w:ind w:left="709" w:right="474"/>
        <w:jc w:val="both"/>
        <w:rPr>
          <w:rFonts w:ascii="Palatino Linotype" w:hAnsi="Palatino Linotype" w:cs="Arial"/>
          <w:i/>
          <w:sz w:val="22"/>
          <w:szCs w:val="21"/>
        </w:rPr>
      </w:pPr>
    </w:p>
    <w:p w:rsidR="009C7575" w:rsidRDefault="009C7575" w:rsidP="009C7575">
      <w:pPr>
        <w:ind w:left="709" w:right="474"/>
        <w:jc w:val="both"/>
        <w:rPr>
          <w:rFonts w:ascii="Palatino Linotype" w:hAnsi="Palatino Linotype" w:cs="Arial"/>
          <w:i/>
          <w:sz w:val="22"/>
          <w:szCs w:val="21"/>
        </w:rPr>
      </w:pPr>
      <w:r w:rsidRPr="00F35B8B">
        <w:rPr>
          <w:rFonts w:ascii="Palatino Linotype" w:hAnsi="Palatino Linotype" w:cs="Arial"/>
          <w:i/>
          <w:sz w:val="22"/>
          <w:szCs w:val="21"/>
        </w:rPr>
        <w:t xml:space="preserve">Amparo directo 20/2002. Afianzadora Insurgentes, S.A. de C.V. 14 de febrero de 2002. Unanimidad de votos. Ponente: Omar </w:t>
      </w:r>
      <w:proofErr w:type="spellStart"/>
      <w:r w:rsidRPr="00F35B8B">
        <w:rPr>
          <w:rFonts w:ascii="Palatino Linotype" w:hAnsi="Palatino Linotype" w:cs="Arial"/>
          <w:i/>
          <w:sz w:val="22"/>
          <w:szCs w:val="21"/>
        </w:rPr>
        <w:t>Losson</w:t>
      </w:r>
      <w:proofErr w:type="spellEnd"/>
      <w:r w:rsidRPr="00F35B8B">
        <w:rPr>
          <w:rFonts w:ascii="Palatino Linotype" w:hAnsi="Palatino Linotype" w:cs="Arial"/>
          <w:i/>
          <w:sz w:val="22"/>
          <w:szCs w:val="21"/>
        </w:rPr>
        <w:t xml:space="preserve"> Ovando. Secretaria: Elsa María López Luna.</w:t>
      </w:r>
    </w:p>
    <w:p w:rsidR="009C7575" w:rsidRDefault="009C7575" w:rsidP="009C7575">
      <w:pPr>
        <w:ind w:left="709" w:right="474"/>
        <w:jc w:val="both"/>
        <w:rPr>
          <w:rFonts w:ascii="Palatino Linotype" w:hAnsi="Palatino Linotype" w:cs="Arial"/>
          <w:i/>
          <w:sz w:val="22"/>
          <w:szCs w:val="21"/>
        </w:rPr>
      </w:pPr>
    </w:p>
    <w:p w:rsidR="009C7575" w:rsidRDefault="009C7575" w:rsidP="009C7575">
      <w:pPr>
        <w:ind w:left="709" w:right="474"/>
        <w:jc w:val="both"/>
        <w:rPr>
          <w:rFonts w:ascii="Palatino Linotype" w:hAnsi="Palatino Linotype" w:cs="Arial"/>
          <w:i/>
          <w:sz w:val="22"/>
          <w:szCs w:val="21"/>
        </w:rPr>
      </w:pPr>
      <w:r w:rsidRPr="00F35B8B">
        <w:rPr>
          <w:rFonts w:ascii="Palatino Linotype" w:hAnsi="Palatino Linotype" w:cs="Arial"/>
          <w:i/>
          <w:sz w:val="22"/>
          <w:szCs w:val="21"/>
        </w:rPr>
        <w:t xml:space="preserve">Amparo directo 271/2002. Fianzas México </w:t>
      </w:r>
      <w:proofErr w:type="spellStart"/>
      <w:r w:rsidRPr="00F35B8B">
        <w:rPr>
          <w:rFonts w:ascii="Palatino Linotype" w:hAnsi="Palatino Linotype" w:cs="Arial"/>
          <w:i/>
          <w:sz w:val="22"/>
          <w:szCs w:val="21"/>
        </w:rPr>
        <w:t>Bital</w:t>
      </w:r>
      <w:proofErr w:type="spellEnd"/>
      <w:r w:rsidRPr="00F35B8B">
        <w:rPr>
          <w:rFonts w:ascii="Palatino Linotype" w:hAnsi="Palatino Linotype" w:cs="Arial"/>
          <w:i/>
          <w:sz w:val="22"/>
          <w:szCs w:val="21"/>
        </w:rPr>
        <w:t xml:space="preserve">, S.A., Grupo Financiero </w:t>
      </w:r>
      <w:proofErr w:type="spellStart"/>
      <w:r w:rsidRPr="00F35B8B">
        <w:rPr>
          <w:rFonts w:ascii="Palatino Linotype" w:hAnsi="Palatino Linotype" w:cs="Arial"/>
          <w:i/>
          <w:sz w:val="22"/>
          <w:szCs w:val="21"/>
        </w:rPr>
        <w:t>Bital</w:t>
      </w:r>
      <w:proofErr w:type="spellEnd"/>
      <w:r w:rsidRPr="00F35B8B">
        <w:rPr>
          <w:rFonts w:ascii="Palatino Linotype" w:hAnsi="Palatino Linotype" w:cs="Arial"/>
          <w:i/>
          <w:sz w:val="22"/>
          <w:szCs w:val="21"/>
        </w:rPr>
        <w:t xml:space="preserve">. 7 de noviembre de 2002. Unanimidad de votos. Ponente: Antonio Meza Alarcón. Secretario: Roberto </w:t>
      </w:r>
      <w:proofErr w:type="spellStart"/>
      <w:r w:rsidRPr="00F35B8B">
        <w:rPr>
          <w:rFonts w:ascii="Palatino Linotype" w:hAnsi="Palatino Linotype" w:cs="Arial"/>
          <w:i/>
          <w:sz w:val="22"/>
          <w:szCs w:val="21"/>
        </w:rPr>
        <w:t>Genchi</w:t>
      </w:r>
      <w:proofErr w:type="spellEnd"/>
      <w:r w:rsidRPr="00F35B8B">
        <w:rPr>
          <w:rFonts w:ascii="Palatino Linotype" w:hAnsi="Palatino Linotype" w:cs="Arial"/>
          <w:i/>
          <w:sz w:val="22"/>
          <w:szCs w:val="21"/>
        </w:rPr>
        <w:t xml:space="preserve"> Recinos.</w:t>
      </w:r>
    </w:p>
    <w:p w:rsidR="009C7575" w:rsidRDefault="009C7575" w:rsidP="009C7575">
      <w:pPr>
        <w:ind w:left="709" w:right="474"/>
        <w:jc w:val="both"/>
        <w:rPr>
          <w:rFonts w:ascii="Palatino Linotype" w:hAnsi="Palatino Linotype" w:cs="Arial"/>
          <w:i/>
          <w:sz w:val="22"/>
          <w:szCs w:val="21"/>
        </w:rPr>
      </w:pPr>
    </w:p>
    <w:p w:rsidR="009C7575" w:rsidRDefault="009C7575" w:rsidP="009C7575">
      <w:pPr>
        <w:ind w:left="709" w:right="474"/>
        <w:jc w:val="both"/>
        <w:rPr>
          <w:rFonts w:ascii="Palatino Linotype" w:hAnsi="Palatino Linotype" w:cs="Arial"/>
          <w:i/>
          <w:sz w:val="22"/>
          <w:szCs w:val="21"/>
        </w:rPr>
      </w:pPr>
      <w:r w:rsidRPr="00F35B8B">
        <w:rPr>
          <w:rFonts w:ascii="Palatino Linotype" w:hAnsi="Palatino Linotype" w:cs="Arial"/>
          <w:i/>
          <w:sz w:val="22"/>
          <w:szCs w:val="21"/>
        </w:rPr>
        <w:t xml:space="preserve">Amparo directo 181/2003. Constructora y Arrendadora </w:t>
      </w:r>
      <w:proofErr w:type="spellStart"/>
      <w:r w:rsidRPr="00F35B8B">
        <w:rPr>
          <w:rFonts w:ascii="Palatino Linotype" w:hAnsi="Palatino Linotype" w:cs="Arial"/>
          <w:i/>
          <w:sz w:val="22"/>
          <w:szCs w:val="21"/>
        </w:rPr>
        <w:t>Paquime</w:t>
      </w:r>
      <w:proofErr w:type="spellEnd"/>
      <w:r w:rsidRPr="00F35B8B">
        <w:rPr>
          <w:rFonts w:ascii="Palatino Linotype" w:hAnsi="Palatino Linotype" w:cs="Arial"/>
          <w:i/>
          <w:sz w:val="22"/>
          <w:szCs w:val="21"/>
        </w:rPr>
        <w:t xml:space="preserve">, S.A. de C.V. 5 de junio de 2003. Unanimidad de votos. Ponente: Omar </w:t>
      </w:r>
      <w:proofErr w:type="spellStart"/>
      <w:r w:rsidRPr="00F35B8B">
        <w:rPr>
          <w:rFonts w:ascii="Palatino Linotype" w:hAnsi="Palatino Linotype" w:cs="Arial"/>
          <w:i/>
          <w:sz w:val="22"/>
          <w:szCs w:val="21"/>
        </w:rPr>
        <w:t>Losson</w:t>
      </w:r>
      <w:proofErr w:type="spellEnd"/>
      <w:r w:rsidRPr="00F35B8B">
        <w:rPr>
          <w:rFonts w:ascii="Palatino Linotype" w:hAnsi="Palatino Linotype" w:cs="Arial"/>
          <w:i/>
          <w:sz w:val="22"/>
          <w:szCs w:val="21"/>
        </w:rPr>
        <w:t xml:space="preserve"> Ovando. Secretaria: Elsa María López Luna.</w:t>
      </w:r>
    </w:p>
    <w:p w:rsidR="009C7575" w:rsidRDefault="009C7575" w:rsidP="009C7575">
      <w:pPr>
        <w:ind w:left="709" w:right="474"/>
        <w:jc w:val="both"/>
        <w:rPr>
          <w:rFonts w:ascii="Palatino Linotype" w:hAnsi="Palatino Linotype" w:cs="Arial"/>
          <w:i/>
          <w:sz w:val="22"/>
          <w:szCs w:val="21"/>
        </w:rPr>
      </w:pPr>
    </w:p>
    <w:p w:rsidR="009C7575" w:rsidRDefault="009C7575" w:rsidP="009C7575">
      <w:pPr>
        <w:ind w:left="709" w:right="474"/>
        <w:jc w:val="both"/>
        <w:rPr>
          <w:rFonts w:ascii="Palatino Linotype" w:hAnsi="Palatino Linotype" w:cs="Arial"/>
          <w:i/>
          <w:sz w:val="22"/>
          <w:szCs w:val="21"/>
        </w:rPr>
      </w:pPr>
      <w:r w:rsidRPr="00F35B8B">
        <w:rPr>
          <w:rFonts w:ascii="Palatino Linotype" w:hAnsi="Palatino Linotype" w:cs="Arial"/>
          <w:i/>
          <w:sz w:val="22"/>
          <w:szCs w:val="21"/>
        </w:rPr>
        <w:t xml:space="preserve">Amparo directo 137/2003. </w:t>
      </w:r>
      <w:proofErr w:type="spellStart"/>
      <w:r w:rsidRPr="00F35B8B">
        <w:rPr>
          <w:rFonts w:ascii="Palatino Linotype" w:hAnsi="Palatino Linotype" w:cs="Arial"/>
          <w:i/>
          <w:sz w:val="22"/>
          <w:szCs w:val="21"/>
        </w:rPr>
        <w:t>Oficentro</w:t>
      </w:r>
      <w:proofErr w:type="spellEnd"/>
      <w:r w:rsidRPr="00F35B8B">
        <w:rPr>
          <w:rFonts w:ascii="Palatino Linotype" w:hAnsi="Palatino Linotype" w:cs="Arial"/>
          <w:i/>
          <w:sz w:val="22"/>
          <w:szCs w:val="21"/>
        </w:rPr>
        <w:t xml:space="preserve"> </w:t>
      </w:r>
      <w:proofErr w:type="spellStart"/>
      <w:r w:rsidRPr="00F35B8B">
        <w:rPr>
          <w:rFonts w:ascii="Palatino Linotype" w:hAnsi="Palatino Linotype" w:cs="Arial"/>
          <w:i/>
          <w:sz w:val="22"/>
          <w:szCs w:val="21"/>
        </w:rPr>
        <w:t>Zanella</w:t>
      </w:r>
      <w:proofErr w:type="spellEnd"/>
      <w:r w:rsidRPr="00F35B8B">
        <w:rPr>
          <w:rFonts w:ascii="Palatino Linotype" w:hAnsi="Palatino Linotype" w:cs="Arial"/>
          <w:i/>
          <w:sz w:val="22"/>
          <w:szCs w:val="21"/>
        </w:rPr>
        <w:t xml:space="preserve">, S.A. de C.V. 12 de junio de 2003. Unanimidad de votos. Ponente: Omar </w:t>
      </w:r>
      <w:proofErr w:type="spellStart"/>
      <w:r w:rsidRPr="00F35B8B">
        <w:rPr>
          <w:rFonts w:ascii="Palatino Linotype" w:hAnsi="Palatino Linotype" w:cs="Arial"/>
          <w:i/>
          <w:sz w:val="22"/>
          <w:szCs w:val="21"/>
        </w:rPr>
        <w:t>Losson</w:t>
      </w:r>
      <w:proofErr w:type="spellEnd"/>
      <w:r w:rsidRPr="00F35B8B">
        <w:rPr>
          <w:rFonts w:ascii="Palatino Linotype" w:hAnsi="Palatino Linotype" w:cs="Arial"/>
          <w:i/>
          <w:sz w:val="22"/>
          <w:szCs w:val="21"/>
        </w:rPr>
        <w:t xml:space="preserve"> Ovando. Secretaria: Elsa María López Luna.</w:t>
      </w:r>
    </w:p>
    <w:p w:rsidR="009C7575" w:rsidRDefault="009C7575" w:rsidP="009C7575">
      <w:pPr>
        <w:ind w:left="709" w:right="474"/>
        <w:jc w:val="both"/>
        <w:rPr>
          <w:rFonts w:ascii="Palatino Linotype" w:hAnsi="Palatino Linotype" w:cs="Arial"/>
          <w:i/>
          <w:sz w:val="22"/>
          <w:szCs w:val="21"/>
        </w:rPr>
      </w:pPr>
    </w:p>
    <w:p w:rsidR="009C7575" w:rsidRDefault="009C7575" w:rsidP="009C7575">
      <w:pPr>
        <w:ind w:left="709" w:right="474"/>
        <w:jc w:val="both"/>
        <w:rPr>
          <w:rFonts w:ascii="Palatino Linotype" w:hAnsi="Palatino Linotype" w:cs="Arial"/>
          <w:i/>
          <w:sz w:val="22"/>
          <w:szCs w:val="21"/>
        </w:rPr>
      </w:pPr>
      <w:r w:rsidRPr="00F35B8B">
        <w:rPr>
          <w:rFonts w:ascii="Palatino Linotype" w:hAnsi="Palatino Linotype" w:cs="Arial"/>
          <w:i/>
          <w:sz w:val="22"/>
          <w:szCs w:val="21"/>
        </w:rPr>
        <w:t>Véase: Apéndice al Semanario Judicial de la Federación 1917-2000, Tomo III, Materia Administrativa, página 267, tesis 250, de rubro: "CONCEPTOS DE VIOLACIÓN EN EL AMPARO DIRECTO. INEFICACIA DE LOS ARGUMENTOS NO PROPUESTOS A LA SALA FISCAL RESPONSABLE."</w:t>
      </w:r>
    </w:p>
    <w:p w:rsidR="009C7575" w:rsidRDefault="009C7575" w:rsidP="009C7575">
      <w:pPr>
        <w:ind w:left="709" w:right="474"/>
        <w:jc w:val="both"/>
        <w:rPr>
          <w:rFonts w:ascii="Palatino Linotype" w:hAnsi="Palatino Linotype" w:cs="Arial"/>
          <w:i/>
          <w:sz w:val="22"/>
          <w:szCs w:val="21"/>
        </w:rPr>
      </w:pPr>
    </w:p>
    <w:p w:rsidR="009C7575" w:rsidRPr="009C7575" w:rsidRDefault="009C7575" w:rsidP="009C7575">
      <w:pPr>
        <w:ind w:left="709" w:right="474"/>
        <w:jc w:val="both"/>
        <w:rPr>
          <w:rFonts w:ascii="Palatino Linotype" w:hAnsi="Palatino Linotype" w:cs="Arial"/>
          <w:i/>
          <w:sz w:val="22"/>
          <w:szCs w:val="21"/>
        </w:rPr>
      </w:pPr>
      <w:r w:rsidRPr="00F35B8B">
        <w:rPr>
          <w:rFonts w:ascii="Palatino Linotype" w:hAnsi="Palatino Linotype" w:cs="Arial"/>
          <w:sz w:val="22"/>
          <w:szCs w:val="21"/>
        </w:rPr>
        <w:t>(Énfasis añadido)</w:t>
      </w:r>
    </w:p>
    <w:p w:rsidR="009C7575" w:rsidRDefault="009C7575" w:rsidP="000E2F43">
      <w:pPr>
        <w:spacing w:line="360" w:lineRule="auto"/>
        <w:jc w:val="both"/>
        <w:rPr>
          <w:rFonts w:ascii="Palatino Linotype" w:hAnsi="Palatino Linotype" w:cs="Arial"/>
          <w:lang w:eastAsia="es-MX"/>
        </w:rPr>
      </w:pPr>
    </w:p>
    <w:p w:rsidR="009C7575" w:rsidRDefault="009C7575" w:rsidP="000E2F43">
      <w:pPr>
        <w:spacing w:line="360" w:lineRule="auto"/>
        <w:jc w:val="both"/>
        <w:rPr>
          <w:rFonts w:ascii="Palatino Linotype" w:hAnsi="Palatino Linotype" w:cs="Arial"/>
          <w:lang w:eastAsia="es-MX"/>
        </w:rPr>
      </w:pPr>
      <w:r>
        <w:rPr>
          <w:rFonts w:ascii="Palatino Linotype" w:hAnsi="Palatino Linotype" w:cs="Arial"/>
          <w:lang w:eastAsia="es-MX"/>
        </w:rPr>
        <w:t xml:space="preserve">Atento a lo anterior, al realizar </w:t>
      </w:r>
      <w:r w:rsidRPr="00B153FF">
        <w:rPr>
          <w:rFonts w:ascii="Palatino Linotype" w:hAnsi="Palatino Linotype" w:cs="Arial"/>
          <w:b/>
          <w:lang w:eastAsia="es-MX"/>
        </w:rPr>
        <w:t>EL RECURRENTE</w:t>
      </w:r>
      <w:r>
        <w:rPr>
          <w:rFonts w:ascii="Palatino Linotype" w:hAnsi="Palatino Linotype" w:cs="Arial"/>
          <w:lang w:eastAsia="es-MX"/>
        </w:rPr>
        <w:t xml:space="preserve"> cuestionamientos adicionales, a criterio de esta Ponencia, </w:t>
      </w:r>
      <w:r w:rsidR="00C16D39">
        <w:rPr>
          <w:rFonts w:ascii="Palatino Linotype" w:hAnsi="Palatino Linotype" w:cs="Arial"/>
          <w:lang w:eastAsia="es-MX"/>
        </w:rPr>
        <w:t>no se considera procedente atenderlos mediante el recurso de revisión por lo que se dejan a salvo los derechos de éste para que formule las solicitudes que a su derecho convenga.</w:t>
      </w:r>
    </w:p>
    <w:p w:rsidR="00C16D39" w:rsidRDefault="00C16D39" w:rsidP="009C7575">
      <w:pPr>
        <w:spacing w:line="360" w:lineRule="auto"/>
        <w:jc w:val="both"/>
        <w:rPr>
          <w:rFonts w:ascii="Palatino Linotype" w:hAnsi="Palatino Linotype" w:cs="Arial"/>
          <w:lang w:eastAsia="es-MX"/>
        </w:rPr>
      </w:pPr>
    </w:p>
    <w:p w:rsidR="000615A6" w:rsidRPr="00AF6572" w:rsidRDefault="000615A6" w:rsidP="009C7575">
      <w:pPr>
        <w:spacing w:line="360" w:lineRule="auto"/>
        <w:jc w:val="both"/>
        <w:rPr>
          <w:rFonts w:ascii="Palatino Linotype" w:hAnsi="Palatino Linotype" w:cs="Arial"/>
          <w:b/>
          <w:lang w:eastAsia="es-MX"/>
        </w:rPr>
      </w:pPr>
      <w:r>
        <w:rPr>
          <w:rFonts w:ascii="Palatino Linotype" w:hAnsi="Palatino Linotype" w:cs="Arial"/>
          <w:lang w:eastAsia="es-MX"/>
        </w:rPr>
        <w:t xml:space="preserve">En conclusión, es claro que </w:t>
      </w:r>
      <w:r>
        <w:rPr>
          <w:rFonts w:ascii="Palatino Linotype" w:hAnsi="Palatino Linotype" w:cs="Arial"/>
          <w:b/>
          <w:lang w:eastAsia="es-MX"/>
        </w:rPr>
        <w:t xml:space="preserve">EL SUJETO OBLIGADO </w:t>
      </w:r>
      <w:r w:rsidR="00F3553A">
        <w:rPr>
          <w:rFonts w:ascii="Palatino Linotype" w:hAnsi="Palatino Linotype" w:cs="Arial"/>
          <w:lang w:eastAsia="es-MX"/>
        </w:rPr>
        <w:t xml:space="preserve">con su respuesta remitió la información requerida al grado de desagregación que permite </w:t>
      </w:r>
      <w:r w:rsidR="00F3553A">
        <w:rPr>
          <w:rFonts w:ascii="Palatino Linotype" w:hAnsi="Palatino Linotype" w:cs="Arial"/>
          <w:b/>
          <w:lang w:eastAsia="es-MX"/>
        </w:rPr>
        <w:t xml:space="preserve">IDENTIFICAR </w:t>
      </w:r>
      <w:r w:rsidR="00F3553A">
        <w:rPr>
          <w:rFonts w:ascii="Palatino Linotype" w:hAnsi="Palatino Linotype" w:cs="Arial"/>
          <w:lang w:eastAsia="es-MX"/>
        </w:rPr>
        <w:t xml:space="preserve">y </w:t>
      </w:r>
      <w:r w:rsidR="00F3553A">
        <w:rPr>
          <w:rFonts w:ascii="Palatino Linotype" w:hAnsi="Palatino Linotype" w:cs="Arial"/>
          <w:b/>
          <w:lang w:eastAsia="es-MX"/>
        </w:rPr>
        <w:t xml:space="preserve">LOCALIZAR </w:t>
      </w:r>
      <w:r w:rsidR="00AF6572">
        <w:rPr>
          <w:rFonts w:ascii="Palatino Linotype" w:hAnsi="Palatino Linotype" w:cs="Arial"/>
          <w:lang w:eastAsia="es-MX"/>
        </w:rPr>
        <w:t xml:space="preserve">a los proveedores, colmando con ello el derecho del </w:t>
      </w:r>
      <w:r w:rsidR="00AF6572">
        <w:rPr>
          <w:rFonts w:ascii="Palatino Linotype" w:hAnsi="Palatino Linotype" w:cs="Arial"/>
          <w:b/>
          <w:lang w:eastAsia="es-MX"/>
        </w:rPr>
        <w:t xml:space="preserve">RECURRENTE, </w:t>
      </w:r>
      <w:r w:rsidR="00AF6572" w:rsidRPr="00AF6572">
        <w:rPr>
          <w:rFonts w:ascii="Palatino Linotype" w:hAnsi="Palatino Linotype" w:cs="Arial"/>
          <w:lang w:eastAsia="es-MX"/>
        </w:rPr>
        <w:t xml:space="preserve">aunado a que </w:t>
      </w:r>
      <w:r w:rsidR="00760C6B">
        <w:rPr>
          <w:rFonts w:ascii="Palatino Linotype" w:hAnsi="Palatino Linotype" w:cs="Arial"/>
          <w:lang w:eastAsia="es-MX"/>
        </w:rPr>
        <w:t xml:space="preserve">las actas constitutivas </w:t>
      </w:r>
      <w:r w:rsidR="00AF6572" w:rsidRPr="00AF6572">
        <w:rPr>
          <w:rFonts w:ascii="Palatino Linotype" w:hAnsi="Palatino Linotype" w:cs="Arial"/>
          <w:lang w:eastAsia="es-MX"/>
        </w:rPr>
        <w:t xml:space="preserve">no </w:t>
      </w:r>
      <w:r w:rsidR="00760C6B">
        <w:rPr>
          <w:rFonts w:ascii="Palatino Linotype" w:hAnsi="Palatino Linotype" w:cs="Arial"/>
          <w:lang w:eastAsia="es-MX"/>
        </w:rPr>
        <w:t>son</w:t>
      </w:r>
      <w:r w:rsidR="00AF6572" w:rsidRPr="00AF6572">
        <w:rPr>
          <w:rFonts w:ascii="Palatino Linotype" w:hAnsi="Palatino Linotype" w:cs="Arial"/>
          <w:lang w:eastAsia="es-MX"/>
        </w:rPr>
        <w:t xml:space="preserve"> requisito para integrar el cat</w:t>
      </w:r>
      <w:r w:rsidR="00760C6B">
        <w:rPr>
          <w:rFonts w:ascii="Palatino Linotype" w:hAnsi="Palatino Linotype" w:cs="Arial"/>
          <w:lang w:eastAsia="es-MX"/>
        </w:rPr>
        <w:t>á</w:t>
      </w:r>
      <w:r w:rsidR="00AF6572" w:rsidRPr="00AF6572">
        <w:rPr>
          <w:rFonts w:ascii="Palatino Linotype" w:hAnsi="Palatino Linotype" w:cs="Arial"/>
          <w:lang w:eastAsia="es-MX"/>
        </w:rPr>
        <w:t>logo o padrón de proveedores</w:t>
      </w:r>
      <w:r w:rsidR="00760C6B">
        <w:rPr>
          <w:rFonts w:ascii="Palatino Linotype" w:hAnsi="Palatino Linotype" w:cs="Arial"/>
          <w:lang w:eastAsia="es-MX"/>
        </w:rPr>
        <w:t xml:space="preserve"> ni para participar en los procedimientos adquisitivos que lleve a cabo el Ayuntamiento</w:t>
      </w:r>
      <w:r w:rsidR="00AF6572" w:rsidRPr="00AF6572">
        <w:rPr>
          <w:rFonts w:ascii="Palatino Linotype" w:hAnsi="Palatino Linotype" w:cs="Arial"/>
          <w:lang w:eastAsia="es-MX"/>
        </w:rPr>
        <w:t xml:space="preserve">, </w:t>
      </w:r>
      <w:r w:rsidR="00760C6B">
        <w:rPr>
          <w:rFonts w:ascii="Palatino Linotype" w:hAnsi="Palatino Linotype" w:cs="Arial"/>
          <w:lang w:eastAsia="es-MX"/>
        </w:rPr>
        <w:t>pues</w:t>
      </w:r>
      <w:r w:rsidR="00AF6572" w:rsidRPr="00AF6572">
        <w:rPr>
          <w:rFonts w:ascii="Palatino Linotype" w:hAnsi="Palatino Linotype" w:cs="Arial"/>
          <w:lang w:eastAsia="es-MX"/>
        </w:rPr>
        <w:t xml:space="preserve"> incluso resulta en una herramienta para que los interesados en participar en los procedimientos adquisitivos no tengan que acreditar en cada acto su </w:t>
      </w:r>
      <w:r w:rsidR="00EA565D">
        <w:rPr>
          <w:rFonts w:ascii="Palatino Linotype" w:hAnsi="Palatino Linotype" w:cs="Arial"/>
          <w:lang w:eastAsia="es-MX"/>
        </w:rPr>
        <w:t xml:space="preserve">capacidad </w:t>
      </w:r>
      <w:r w:rsidR="00EA565D" w:rsidRPr="00EA565D">
        <w:rPr>
          <w:rFonts w:ascii="Palatino Linotype" w:hAnsi="Palatino Linotype" w:cs="Arial"/>
          <w:lang w:eastAsia="es-MX"/>
        </w:rPr>
        <w:t>administrativa, financiera, legal y técnica</w:t>
      </w:r>
      <w:r w:rsidR="00AF6572">
        <w:rPr>
          <w:rFonts w:ascii="Palatino Linotype" w:hAnsi="Palatino Linotype" w:cs="Arial"/>
          <w:b/>
          <w:lang w:eastAsia="es-MX"/>
        </w:rPr>
        <w:t>.</w:t>
      </w:r>
    </w:p>
    <w:p w:rsidR="00800A61" w:rsidRDefault="00800A61" w:rsidP="00B06D8A">
      <w:pPr>
        <w:spacing w:line="360" w:lineRule="auto"/>
        <w:jc w:val="both"/>
        <w:rPr>
          <w:rFonts w:ascii="Palatino Linotype" w:hAnsi="Palatino Linotype" w:cs="Arial"/>
        </w:rPr>
      </w:pPr>
    </w:p>
    <w:p w:rsidR="00AF6572" w:rsidRDefault="00AF6572" w:rsidP="00AF6572">
      <w:pPr>
        <w:widowControl w:val="0"/>
        <w:autoSpaceDE w:val="0"/>
        <w:autoSpaceDN w:val="0"/>
        <w:adjustRightInd w:val="0"/>
        <w:spacing w:line="360" w:lineRule="auto"/>
        <w:jc w:val="both"/>
        <w:rPr>
          <w:rFonts w:ascii="Palatino Linotype" w:hAnsi="Palatino Linotype"/>
          <w:b/>
        </w:rPr>
      </w:pPr>
      <w:r w:rsidRPr="00BA0792">
        <w:rPr>
          <w:rFonts w:ascii="Palatino Linotype" w:hAnsi="Palatino Linotype"/>
        </w:rPr>
        <w:t xml:space="preserve">En consecuencia, esta Ponencia Resolutora, en términos de lo dispuesto en el artículo 186 fracción II de la Ley de Transparencia y Acceso a la </w:t>
      </w:r>
      <w:r w:rsidRPr="00BA0792">
        <w:rPr>
          <w:rFonts w:ascii="Palatino Linotype" w:hAnsi="Palatino Linotype" w:cs="Arial"/>
        </w:rPr>
        <w:t>Información</w:t>
      </w:r>
      <w:r w:rsidRPr="00BA0792">
        <w:rPr>
          <w:rFonts w:ascii="Palatino Linotype" w:hAnsi="Palatino Linotype"/>
        </w:rPr>
        <w:t xml:space="preserve"> Pública del Estado de México y Municipios, determina </w:t>
      </w:r>
      <w:r w:rsidRPr="00BA0792">
        <w:rPr>
          <w:rFonts w:ascii="Palatino Linotype" w:hAnsi="Palatino Linotype"/>
          <w:b/>
        </w:rPr>
        <w:t>CONFIRMAR</w:t>
      </w:r>
      <w:r w:rsidRPr="00BA0792">
        <w:rPr>
          <w:rFonts w:ascii="Palatino Linotype" w:hAnsi="Palatino Linotype"/>
        </w:rPr>
        <w:t xml:space="preserve"> la respuesta del </w:t>
      </w:r>
      <w:r w:rsidRPr="00BA0792">
        <w:rPr>
          <w:rFonts w:ascii="Palatino Linotype" w:hAnsi="Palatino Linotype"/>
          <w:b/>
        </w:rPr>
        <w:t>SUJETO OBLIGADO.</w:t>
      </w:r>
    </w:p>
    <w:p w:rsidR="00AF6572" w:rsidRPr="00BA0792" w:rsidRDefault="00AF6572" w:rsidP="00AF6572">
      <w:pPr>
        <w:widowControl w:val="0"/>
        <w:autoSpaceDE w:val="0"/>
        <w:autoSpaceDN w:val="0"/>
        <w:adjustRightInd w:val="0"/>
        <w:spacing w:line="360" w:lineRule="auto"/>
        <w:jc w:val="both"/>
        <w:rPr>
          <w:rFonts w:ascii="Palatino Linotype" w:hAnsi="Palatino Linotype"/>
          <w:b/>
        </w:rPr>
      </w:pPr>
    </w:p>
    <w:p w:rsidR="00AF6572" w:rsidRDefault="00AF6572" w:rsidP="00AF6572">
      <w:pPr>
        <w:spacing w:line="360" w:lineRule="auto"/>
        <w:jc w:val="both"/>
        <w:rPr>
          <w:rFonts w:ascii="Palatino Linotype" w:eastAsia="Calibri" w:hAnsi="Palatino Linotype" w:cs="Arial"/>
        </w:rPr>
      </w:pPr>
      <w:r w:rsidRPr="00BA0792">
        <w:rPr>
          <w:rFonts w:ascii="Palatino Linotype" w:eastAsia="Calibri" w:hAnsi="Palatino Linotype" w:cs="Arial"/>
        </w:rPr>
        <w:t xml:space="preserve">Así, con </w:t>
      </w:r>
      <w:r w:rsidRPr="00BA0792">
        <w:rPr>
          <w:rFonts w:ascii="Palatino Linotype" w:hAnsi="Palatino Linotype" w:cs="Arial"/>
        </w:rPr>
        <w:t>fundamento</w:t>
      </w:r>
      <w:r w:rsidRPr="00BA0792">
        <w:rPr>
          <w:rFonts w:ascii="Palatino Linotype" w:eastAsia="Calibri" w:hAnsi="Palatino Linotype" w:cs="Arial"/>
        </w:rPr>
        <w:t xml:space="preserve"> en lo prescrito en los artículos 5 </w:t>
      </w:r>
      <w:r w:rsidRPr="00BA0792">
        <w:rPr>
          <w:rFonts w:ascii="Palatino Linotype" w:hAnsi="Palatino Linotype"/>
        </w:rPr>
        <w:t>párrafos vigésimo</w:t>
      </w:r>
      <w:r w:rsidR="0017587B">
        <w:rPr>
          <w:rFonts w:ascii="Palatino Linotype" w:hAnsi="Palatino Linotype"/>
        </w:rPr>
        <w:t xml:space="preserve"> segundo</w:t>
      </w:r>
      <w:r w:rsidRPr="00BA0792">
        <w:rPr>
          <w:rFonts w:ascii="Palatino Linotype" w:hAnsi="Palatino Linotype"/>
        </w:rPr>
        <w:t xml:space="preserve">, vigésimo </w:t>
      </w:r>
      <w:r w:rsidR="0017587B">
        <w:rPr>
          <w:rFonts w:ascii="Palatino Linotype" w:hAnsi="Palatino Linotype"/>
        </w:rPr>
        <w:t xml:space="preserve">tercero </w:t>
      </w:r>
      <w:r w:rsidRPr="00BA0792">
        <w:rPr>
          <w:rFonts w:ascii="Palatino Linotype" w:hAnsi="Palatino Linotype"/>
        </w:rPr>
        <w:t xml:space="preserve">y vigésimo </w:t>
      </w:r>
      <w:r w:rsidR="0017587B">
        <w:rPr>
          <w:rFonts w:ascii="Palatino Linotype" w:hAnsi="Palatino Linotype"/>
        </w:rPr>
        <w:t xml:space="preserve">cuarto, </w:t>
      </w:r>
      <w:r w:rsidRPr="00BA0792">
        <w:rPr>
          <w:rFonts w:ascii="Palatino Linotype" w:hAnsi="Palatino Linotype"/>
        </w:rPr>
        <w:t>fracciones IV y V</w:t>
      </w:r>
      <w:r w:rsidRPr="00BA0792">
        <w:rPr>
          <w:rFonts w:ascii="Palatino Linotype" w:eastAsia="Calibri" w:hAnsi="Palatino Linotype" w:cs="Arial"/>
        </w:rPr>
        <w:t xml:space="preserve"> de la Constitución Política del Estado Libre y Soberano de México; </w:t>
      </w:r>
      <w:r w:rsidRPr="00BA0792">
        <w:rPr>
          <w:rFonts w:ascii="Palatino Linotype" w:hAnsi="Palatino Linotype"/>
        </w:rPr>
        <w:t xml:space="preserve">2 fracción II, </w:t>
      </w:r>
      <w:r w:rsidRPr="00BA0792">
        <w:rPr>
          <w:rFonts w:ascii="Palatino Linotype" w:hAnsi="Palatino Linotype" w:cs="Arial"/>
          <w:lang w:val="es-ES_tradnl"/>
        </w:rPr>
        <w:t>29</w:t>
      </w:r>
      <w:r w:rsidRPr="00BA0792">
        <w:rPr>
          <w:rFonts w:ascii="Palatino Linotype" w:hAnsi="Palatino Linotype"/>
        </w:rPr>
        <w:t>, 36 fracciones I y II, 176, 178, 179, 181, 185 fracción I, 186 y 188</w:t>
      </w:r>
      <w:r w:rsidRPr="00BA0792">
        <w:rPr>
          <w:rFonts w:ascii="Palatino Linotype" w:eastAsia="Calibri" w:hAnsi="Palatino Linotype" w:cs="Arial"/>
        </w:rPr>
        <w:t xml:space="preserve"> de la Ley de Transparencia y Acceso a la Información Pública del Estado de México y </w:t>
      </w:r>
      <w:r w:rsidRPr="00BA0792">
        <w:rPr>
          <w:rFonts w:ascii="Palatino Linotype" w:hAnsi="Palatino Linotype" w:cs="Arial"/>
        </w:rPr>
        <w:t>Municipios</w:t>
      </w:r>
      <w:r w:rsidRPr="00BA0792">
        <w:rPr>
          <w:rFonts w:ascii="Palatino Linotype" w:eastAsia="Calibri" w:hAnsi="Palatino Linotype" w:cs="Arial"/>
        </w:rPr>
        <w:t>, este Pleno:</w:t>
      </w:r>
    </w:p>
    <w:p w:rsidR="00AF6572" w:rsidRDefault="00AF6572" w:rsidP="00AF6572">
      <w:pPr>
        <w:spacing w:line="360" w:lineRule="auto"/>
        <w:jc w:val="center"/>
        <w:rPr>
          <w:rFonts w:ascii="Palatino Linotype" w:hAnsi="Palatino Linotype"/>
          <w:b/>
          <w:bCs/>
          <w:spacing w:val="40"/>
          <w:sz w:val="28"/>
        </w:rPr>
      </w:pPr>
    </w:p>
    <w:p w:rsidR="00AF6572" w:rsidRDefault="00AF6572" w:rsidP="00AF6572">
      <w:pPr>
        <w:spacing w:line="360" w:lineRule="auto"/>
        <w:jc w:val="center"/>
        <w:rPr>
          <w:rFonts w:ascii="Palatino Linotype" w:hAnsi="Palatino Linotype"/>
          <w:b/>
          <w:bCs/>
          <w:spacing w:val="40"/>
          <w:sz w:val="28"/>
        </w:rPr>
      </w:pPr>
      <w:r w:rsidRPr="003C0161">
        <w:rPr>
          <w:rFonts w:ascii="Palatino Linotype" w:hAnsi="Palatino Linotype"/>
          <w:b/>
          <w:bCs/>
          <w:spacing w:val="40"/>
          <w:sz w:val="28"/>
        </w:rPr>
        <w:t>RESUELVE</w:t>
      </w:r>
    </w:p>
    <w:p w:rsidR="00AF6572" w:rsidRPr="003C0161" w:rsidRDefault="00AF6572" w:rsidP="00AF6572">
      <w:pPr>
        <w:spacing w:line="360" w:lineRule="auto"/>
        <w:jc w:val="center"/>
        <w:rPr>
          <w:rFonts w:ascii="Palatino Linotype" w:hAnsi="Palatino Linotype"/>
          <w:b/>
          <w:bCs/>
          <w:spacing w:val="40"/>
          <w:sz w:val="28"/>
        </w:rPr>
      </w:pPr>
    </w:p>
    <w:p w:rsidR="00AF6572" w:rsidRPr="003C0161" w:rsidRDefault="00AF6572" w:rsidP="00AF6572">
      <w:pPr>
        <w:pStyle w:val="Prrafodelista"/>
        <w:widowControl w:val="0"/>
        <w:numPr>
          <w:ilvl w:val="0"/>
          <w:numId w:val="10"/>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BA0792">
        <w:rPr>
          <w:rFonts w:ascii="Palatino Linotype" w:hAnsi="Palatino Linotype"/>
        </w:rPr>
        <w:t xml:space="preserve">Resultan </w:t>
      </w:r>
      <w:r w:rsidRPr="00BA0792">
        <w:rPr>
          <w:rFonts w:ascii="Palatino Linotype" w:hAnsi="Palatino Linotype" w:cs="Arial"/>
          <w:b/>
        </w:rPr>
        <w:t>infundadas</w:t>
      </w:r>
      <w:r w:rsidRPr="00BA0792">
        <w:rPr>
          <w:rFonts w:ascii="Palatino Linotype" w:hAnsi="Palatino Linotype"/>
        </w:rPr>
        <w:t xml:space="preserve"> las razones o motivos de inconformidad planteadas por </w:t>
      </w:r>
      <w:r>
        <w:rPr>
          <w:rFonts w:ascii="Palatino Linotype" w:hAnsi="Palatino Linotype"/>
          <w:b/>
        </w:rPr>
        <w:t>EL</w:t>
      </w:r>
      <w:r w:rsidRPr="00BA0792">
        <w:rPr>
          <w:rFonts w:ascii="Palatino Linotype" w:hAnsi="Palatino Linotype"/>
          <w:b/>
        </w:rPr>
        <w:t xml:space="preserve"> RECURRENTE </w:t>
      </w:r>
      <w:r w:rsidRPr="00BA0792">
        <w:rPr>
          <w:rFonts w:ascii="Palatino Linotype" w:hAnsi="Palatino Linotype"/>
        </w:rPr>
        <w:t xml:space="preserve">y analizadas en el Considerando </w:t>
      </w:r>
      <w:r w:rsidRPr="00BA0792">
        <w:rPr>
          <w:rFonts w:ascii="Palatino Linotype" w:hAnsi="Palatino Linotype"/>
          <w:b/>
        </w:rPr>
        <w:t>QUINTO</w:t>
      </w:r>
      <w:r w:rsidRPr="00BA0792">
        <w:rPr>
          <w:rFonts w:ascii="Palatino Linotype" w:hAnsi="Palatino Linotype"/>
        </w:rPr>
        <w:t xml:space="preserve"> de esta resolución.</w:t>
      </w:r>
    </w:p>
    <w:p w:rsidR="00AF6572" w:rsidRPr="00BA0792" w:rsidRDefault="00AF6572" w:rsidP="00AF657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AF6572" w:rsidRPr="003C0161" w:rsidRDefault="00AF6572" w:rsidP="00AF6572">
      <w:pPr>
        <w:pStyle w:val="Prrafodelista"/>
        <w:widowControl w:val="0"/>
        <w:numPr>
          <w:ilvl w:val="0"/>
          <w:numId w:val="10"/>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BA0792">
        <w:rPr>
          <w:rFonts w:ascii="Palatino Linotype" w:hAnsi="Palatino Linotype"/>
        </w:rPr>
        <w:t xml:space="preserve">Se </w:t>
      </w:r>
      <w:r w:rsidRPr="00BA0792">
        <w:rPr>
          <w:rFonts w:ascii="Palatino Linotype" w:hAnsi="Palatino Linotype"/>
          <w:b/>
        </w:rPr>
        <w:t>CONFIRMA</w:t>
      </w:r>
      <w:r w:rsidRPr="00BA0792">
        <w:rPr>
          <w:rFonts w:ascii="Palatino Linotype" w:hAnsi="Palatino Linotype"/>
        </w:rPr>
        <w:t xml:space="preserve"> la respuesta del </w:t>
      </w:r>
      <w:r w:rsidRPr="00BA0792">
        <w:rPr>
          <w:rFonts w:ascii="Palatino Linotype" w:hAnsi="Palatino Linotype"/>
          <w:b/>
        </w:rPr>
        <w:t>SUJETO OBLIGADO</w:t>
      </w:r>
      <w:r w:rsidRPr="00BA0792">
        <w:rPr>
          <w:rFonts w:ascii="Palatino Linotype" w:hAnsi="Palatino Linotype"/>
        </w:rPr>
        <w:t xml:space="preserve"> otorgada a la solicitud de información número </w:t>
      </w:r>
      <w:r w:rsidRPr="00AF6572">
        <w:rPr>
          <w:rFonts w:ascii="Palatino Linotype" w:hAnsi="Palatino Linotype"/>
          <w:b/>
          <w:bCs/>
        </w:rPr>
        <w:t>00202/NICOROM/IP/2019</w:t>
      </w:r>
      <w:r w:rsidRPr="00BA0792">
        <w:rPr>
          <w:rFonts w:ascii="Palatino Linotype" w:hAnsi="Palatino Linotype"/>
        </w:rPr>
        <w:t xml:space="preserve">, en términos del Considerando </w:t>
      </w:r>
      <w:r w:rsidRPr="00BA0792">
        <w:rPr>
          <w:rFonts w:ascii="Palatino Linotype" w:hAnsi="Palatino Linotype"/>
          <w:b/>
        </w:rPr>
        <w:t>QUINTO</w:t>
      </w:r>
      <w:r w:rsidRPr="00BA0792">
        <w:rPr>
          <w:rFonts w:ascii="Palatino Linotype" w:hAnsi="Palatino Linotype"/>
        </w:rPr>
        <w:t>.</w:t>
      </w:r>
    </w:p>
    <w:p w:rsidR="00AF6572" w:rsidRPr="00BA0792" w:rsidRDefault="00AF6572" w:rsidP="00AF657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AF6572" w:rsidRPr="003C0161" w:rsidRDefault="00AF6572" w:rsidP="00AF6572">
      <w:pPr>
        <w:pStyle w:val="Prrafodelista"/>
        <w:widowControl w:val="0"/>
        <w:numPr>
          <w:ilvl w:val="0"/>
          <w:numId w:val="10"/>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BA0792">
        <w:rPr>
          <w:rFonts w:ascii="Palatino Linotype" w:hAnsi="Palatino Linotype"/>
          <w:b/>
        </w:rPr>
        <w:t>Notifíquese</w:t>
      </w:r>
      <w:r w:rsidRPr="00BA0792">
        <w:rPr>
          <w:rFonts w:ascii="Palatino Linotype" w:hAnsi="Palatino Linotype"/>
        </w:rPr>
        <w:t xml:space="preserve"> la presente resolución al Titular de la Unidad de Transparencia del </w:t>
      </w:r>
      <w:r w:rsidRPr="00BA0792">
        <w:rPr>
          <w:rFonts w:ascii="Palatino Linotype" w:hAnsi="Palatino Linotype"/>
          <w:b/>
        </w:rPr>
        <w:t>SUJETO OBLIGADO</w:t>
      </w:r>
      <w:r w:rsidRPr="00BA0792">
        <w:rPr>
          <w:rFonts w:ascii="Palatino Linotype" w:hAnsi="Palatino Linotype"/>
        </w:rPr>
        <w:t xml:space="preserve"> para su conocimiento.</w:t>
      </w:r>
    </w:p>
    <w:p w:rsidR="00AF6572" w:rsidRPr="00BA0792" w:rsidRDefault="00AF6572" w:rsidP="00AF657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AF6572" w:rsidRDefault="00AF6572" w:rsidP="00AF6572">
      <w:pPr>
        <w:pStyle w:val="Prrafodelista"/>
        <w:widowControl w:val="0"/>
        <w:numPr>
          <w:ilvl w:val="0"/>
          <w:numId w:val="10"/>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E57AFF">
        <w:rPr>
          <w:rFonts w:ascii="Palatino Linotype" w:hAnsi="Palatino Linotype"/>
          <w:b/>
          <w:lang w:eastAsia="es-ES_tradnl"/>
        </w:rPr>
        <w:t>Notifíquese</w:t>
      </w:r>
      <w:r w:rsidRPr="00E57AFF">
        <w:rPr>
          <w:rFonts w:ascii="Palatino Linotype" w:hAnsi="Palatino Linotype"/>
          <w:lang w:eastAsia="es-ES_tradnl"/>
        </w:rPr>
        <w:t xml:space="preserve"> a</w:t>
      </w:r>
      <w:r>
        <w:rPr>
          <w:rFonts w:ascii="Palatino Linotype" w:hAnsi="Palatino Linotype"/>
          <w:lang w:eastAsia="es-ES_tradnl"/>
        </w:rPr>
        <w:t>l</w:t>
      </w:r>
      <w:r w:rsidRPr="00E57AFF">
        <w:rPr>
          <w:rFonts w:ascii="Palatino Linotype" w:hAnsi="Palatino Linotype"/>
          <w:b/>
          <w:lang w:eastAsia="es-ES_tradnl"/>
        </w:rPr>
        <w:t xml:space="preserve"> RECURRENTE</w:t>
      </w:r>
      <w:r w:rsidRPr="00E57AFF">
        <w:rPr>
          <w:rFonts w:ascii="Palatino Linotype" w:hAnsi="Palatino Linotype"/>
          <w:lang w:eastAsia="es-ES_tradnl"/>
        </w:rPr>
        <w:t xml:space="preserve"> la </w:t>
      </w:r>
      <w:r w:rsidRPr="00E57AFF">
        <w:rPr>
          <w:rFonts w:ascii="Palatino Linotype" w:hAnsi="Palatino Linotype"/>
        </w:rPr>
        <w:t>presente</w:t>
      </w:r>
      <w:r w:rsidRPr="00E57AFF">
        <w:rPr>
          <w:rFonts w:ascii="Palatino Linotype" w:hAnsi="Palatino Linotype"/>
          <w:lang w:eastAsia="es-ES_tradnl"/>
        </w:rPr>
        <w:t xml:space="preserve"> resolución</w:t>
      </w:r>
      <w:r>
        <w:rPr>
          <w:rFonts w:ascii="Palatino Linotype" w:hAnsi="Palatino Linotype"/>
          <w:lang w:eastAsia="es-ES_tradnl"/>
        </w:rPr>
        <w:t>.</w:t>
      </w:r>
    </w:p>
    <w:p w:rsidR="00AF6572" w:rsidRPr="00E57AFF" w:rsidRDefault="00AF6572" w:rsidP="00AF657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lang w:eastAsia="es-ES_tradnl"/>
        </w:rPr>
      </w:pPr>
    </w:p>
    <w:p w:rsidR="00AF6572" w:rsidRPr="00BA0792" w:rsidRDefault="00AF6572" w:rsidP="00AF6572">
      <w:pPr>
        <w:pStyle w:val="Prrafodelista"/>
        <w:widowControl w:val="0"/>
        <w:numPr>
          <w:ilvl w:val="0"/>
          <w:numId w:val="10"/>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BA0792">
        <w:rPr>
          <w:rFonts w:ascii="Palatino Linotype" w:hAnsi="Palatino Linotype"/>
          <w:b/>
          <w:lang w:eastAsia="es-ES_tradnl"/>
        </w:rPr>
        <w:t>Hágase</w:t>
      </w:r>
      <w:r w:rsidRPr="00BA0792">
        <w:rPr>
          <w:rFonts w:ascii="Palatino Linotype" w:hAnsi="Palatino Linotype"/>
          <w:lang w:eastAsia="es-ES_tradnl"/>
        </w:rPr>
        <w:t xml:space="preserve"> </w:t>
      </w:r>
      <w:r w:rsidRPr="00BA0792">
        <w:rPr>
          <w:rFonts w:ascii="Palatino Linotype" w:hAnsi="Palatino Linotype"/>
          <w:b/>
          <w:lang w:eastAsia="es-ES_tradnl"/>
        </w:rPr>
        <w:t xml:space="preserve">del </w:t>
      </w:r>
      <w:r w:rsidRPr="00BA0792">
        <w:rPr>
          <w:rFonts w:ascii="Palatino Linotype" w:hAnsi="Palatino Linotype"/>
          <w:b/>
        </w:rPr>
        <w:t>conocimiento</w:t>
      </w:r>
      <w:r w:rsidRPr="00BA0792">
        <w:rPr>
          <w:rFonts w:ascii="Palatino Linotype" w:hAnsi="Palatino Linotype"/>
          <w:b/>
          <w:lang w:eastAsia="es-ES_tradnl"/>
        </w:rPr>
        <w:t xml:space="preserve"> </w:t>
      </w:r>
      <w:r w:rsidRPr="00BA0792">
        <w:rPr>
          <w:rFonts w:ascii="Palatino Linotype" w:hAnsi="Palatino Linotype"/>
          <w:lang w:eastAsia="es-ES_tradnl"/>
        </w:rPr>
        <w:t>de</w:t>
      </w:r>
      <w:r>
        <w:rPr>
          <w:rFonts w:ascii="Palatino Linotype" w:hAnsi="Palatino Linotype"/>
          <w:lang w:eastAsia="es-ES_tradnl"/>
        </w:rPr>
        <w:t>l</w:t>
      </w:r>
      <w:r w:rsidRPr="00BA0792">
        <w:rPr>
          <w:rFonts w:ascii="Palatino Linotype" w:hAnsi="Palatino Linotype"/>
          <w:b/>
          <w:lang w:eastAsia="es-ES_tradnl"/>
        </w:rPr>
        <w:t xml:space="preserve"> RECURRENTE</w:t>
      </w:r>
      <w:r w:rsidRPr="00BA0792">
        <w:rPr>
          <w:rFonts w:ascii="Palatino Linotype" w:hAnsi="Palatino Linotype"/>
          <w:lang w:eastAsia="es-ES_tradnl"/>
        </w:rPr>
        <w:t xml:space="preserve">, que de </w:t>
      </w:r>
      <w:r w:rsidRPr="00BA0792">
        <w:rPr>
          <w:rFonts w:ascii="Palatino Linotype" w:hAnsi="Palatino Linotype"/>
        </w:rPr>
        <w:t>conformidad</w:t>
      </w:r>
      <w:r w:rsidRPr="00BA0792">
        <w:rPr>
          <w:rFonts w:ascii="Palatino Linotype" w:hAnsi="Palatino Linotype"/>
          <w:lang w:eastAsia="es-ES_tradnl"/>
        </w:rPr>
        <w:t xml:space="preserve"> </w:t>
      </w:r>
      <w:r w:rsidRPr="00BA0792">
        <w:rPr>
          <w:rFonts w:ascii="Palatino Linotype" w:hAnsi="Palatino Linotype" w:cs="Arial"/>
        </w:rPr>
        <w:t>con</w:t>
      </w:r>
      <w:r w:rsidRPr="00BA0792">
        <w:rPr>
          <w:rFonts w:ascii="Palatino Linotype" w:hAnsi="Palatino Linotype"/>
          <w:lang w:eastAsia="es-ES_tradnl"/>
        </w:rPr>
        <w:t xml:space="preserve"> lo </w:t>
      </w:r>
      <w:r w:rsidRPr="00BA0792">
        <w:rPr>
          <w:rFonts w:ascii="Palatino Linotype" w:hAnsi="Palatino Linotype" w:cs="Arial"/>
        </w:rPr>
        <w:t>establecido</w:t>
      </w:r>
      <w:r w:rsidRPr="00BA079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rsidR="00B06D8A" w:rsidRDefault="00B06D8A" w:rsidP="00B06D8A">
      <w:pPr>
        <w:pStyle w:val="Prrafodelista"/>
        <w:spacing w:line="360" w:lineRule="auto"/>
        <w:ind w:left="0"/>
        <w:jc w:val="both"/>
        <w:rPr>
          <w:rFonts w:ascii="Palatino Linotype" w:hAnsi="Palatino Linotype"/>
        </w:rPr>
      </w:pPr>
    </w:p>
    <w:p w:rsidR="00AF6572" w:rsidRPr="001222A1" w:rsidRDefault="00AF6572" w:rsidP="00AF6572">
      <w:pPr>
        <w:spacing w:line="360" w:lineRule="auto"/>
        <w:jc w:val="both"/>
        <w:rPr>
          <w:rFonts w:ascii="Palatino Linotype" w:eastAsia="Calibri" w:hAnsi="Palatino Linotype" w:cs="Arial"/>
        </w:rPr>
      </w:pPr>
      <w:r w:rsidRPr="001222A1">
        <w:rPr>
          <w:rFonts w:ascii="Palatino Linotype" w:eastAsia="Calibri" w:hAnsi="Palatino Linotype" w:cs="Arial"/>
        </w:rPr>
        <w:t>Se dejan a salvo los derechos de</w:t>
      </w:r>
      <w:r>
        <w:rPr>
          <w:rFonts w:ascii="Palatino Linotype" w:eastAsia="Calibri" w:hAnsi="Palatino Linotype" w:cs="Arial"/>
        </w:rPr>
        <w:t>l</w:t>
      </w:r>
      <w:r w:rsidRPr="001222A1">
        <w:rPr>
          <w:rFonts w:ascii="Palatino Linotype" w:eastAsia="Calibri" w:hAnsi="Palatino Linotype" w:cs="Arial"/>
        </w:rPr>
        <w:t xml:space="preserve"> </w:t>
      </w:r>
      <w:r w:rsidRPr="001222A1">
        <w:rPr>
          <w:rFonts w:ascii="Palatino Linotype" w:eastAsia="Calibri" w:hAnsi="Palatino Linotype" w:cs="Arial"/>
          <w:b/>
        </w:rPr>
        <w:t>RECURRENTE</w:t>
      </w:r>
      <w:r w:rsidRPr="001222A1">
        <w:rPr>
          <w:rFonts w:ascii="Palatino Linotype" w:eastAsia="Calibri" w:hAnsi="Palatino Linotype" w:cs="Arial"/>
        </w:rPr>
        <w:t>, a fin de que formule las solicitudes de acceso a la información pública que a su derecho convenga</w:t>
      </w:r>
      <w:r>
        <w:rPr>
          <w:rFonts w:ascii="Palatino Linotype" w:eastAsia="Calibri" w:hAnsi="Palatino Linotype" w:cs="Arial"/>
        </w:rPr>
        <w:t>.</w:t>
      </w:r>
    </w:p>
    <w:p w:rsidR="0017587B" w:rsidRDefault="0017587B" w:rsidP="0017587B">
      <w:pPr>
        <w:spacing w:before="240" w:after="240" w:line="360" w:lineRule="auto"/>
        <w:ind w:right="49"/>
        <w:jc w:val="both"/>
        <w:rPr>
          <w:rFonts w:ascii="Palatino Linotype" w:hAnsi="Palatino Linotype" w:cs="Arial"/>
          <w:color w:val="000000" w:themeColor="text1"/>
          <w:sz w:val="22"/>
          <w:szCs w:val="22"/>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JAVIER MARTÍNEZ CRUZ EMITIENDO VOTO PARTICULAR Y LUIS GUSTAVO PARRA NORIEGA; EN LA VIGÉSIMA SÉPTIMA SESIÓN ORDINARIA CELEBRADA EL TREINTA Y UNO DE JULIO DE DOS MIL DIECINUEVE, ANTE EL SECRETARIO TÉCNICO DEL PLENO ALEXIS TAPIA RAMÍREZ.</w:t>
      </w:r>
    </w:p>
    <w:p w:rsidR="00B06D8A" w:rsidRDefault="00B06D8A" w:rsidP="00B06D8A">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B06D8A" w:rsidTr="00B06D8A">
        <w:trPr>
          <w:jc w:val="center"/>
        </w:trPr>
        <w:tc>
          <w:tcPr>
            <w:tcW w:w="10365" w:type="dxa"/>
            <w:gridSpan w:val="2"/>
          </w:tcPr>
          <w:p w:rsidR="0017587B" w:rsidRDefault="0017587B" w:rsidP="0017587B">
            <w:pPr>
              <w:spacing w:line="276" w:lineRule="auto"/>
              <w:rPr>
                <w:rFonts w:ascii="Palatino Linotype" w:hAnsi="Palatino Linotype" w:cs="Arial"/>
                <w:b/>
              </w:rPr>
            </w:pPr>
          </w:p>
          <w:p w:rsidR="0017587B" w:rsidRDefault="0017587B">
            <w:pPr>
              <w:spacing w:line="276" w:lineRule="auto"/>
              <w:jc w:val="center"/>
              <w:rPr>
                <w:rFonts w:ascii="Palatino Linotype" w:hAnsi="Palatino Linotype" w:cs="Arial"/>
                <w:b/>
              </w:rPr>
            </w:pPr>
          </w:p>
          <w:p w:rsidR="0017587B" w:rsidRDefault="0017587B">
            <w:pPr>
              <w:spacing w:line="276" w:lineRule="auto"/>
              <w:jc w:val="center"/>
              <w:rPr>
                <w:rFonts w:ascii="Palatino Linotype" w:hAnsi="Palatino Linotype" w:cs="Arial"/>
                <w:b/>
              </w:rPr>
            </w:pPr>
          </w:p>
          <w:p w:rsidR="00B06D8A" w:rsidRDefault="00B06D8A">
            <w:pPr>
              <w:spacing w:line="276" w:lineRule="auto"/>
              <w:jc w:val="center"/>
              <w:rPr>
                <w:rFonts w:ascii="Palatino Linotype" w:hAnsi="Palatino Linotype" w:cs="Arial"/>
                <w:b/>
              </w:rPr>
            </w:pPr>
            <w:r>
              <w:rPr>
                <w:rFonts w:ascii="Palatino Linotype" w:hAnsi="Palatino Linotype" w:cs="Arial"/>
                <w:b/>
              </w:rPr>
              <w:t>Zulema Martínez Sánchez</w:t>
            </w:r>
          </w:p>
          <w:p w:rsidR="00B06D8A" w:rsidRDefault="00B06D8A">
            <w:pPr>
              <w:spacing w:line="276" w:lineRule="auto"/>
              <w:jc w:val="center"/>
              <w:rPr>
                <w:rFonts w:ascii="Palatino Linotype" w:hAnsi="Palatino Linotype" w:cs="Arial"/>
                <w:b/>
              </w:rPr>
            </w:pPr>
            <w:r>
              <w:rPr>
                <w:rFonts w:ascii="Palatino Linotype" w:hAnsi="Palatino Linotype" w:cs="Arial"/>
              </w:rPr>
              <w:t>Comisionada Presidenta</w:t>
            </w:r>
          </w:p>
          <w:p w:rsidR="00B06D8A" w:rsidRDefault="00B06D8A">
            <w:pPr>
              <w:spacing w:line="276" w:lineRule="auto"/>
              <w:jc w:val="center"/>
              <w:rPr>
                <w:rFonts w:ascii="Palatino Linotype" w:hAnsi="Palatino Linotype" w:cs="Arial"/>
                <w:b/>
              </w:rPr>
            </w:pPr>
            <w:r>
              <w:rPr>
                <w:rFonts w:ascii="Palatino Linotype" w:hAnsi="Palatino Linotype" w:cs="Arial"/>
                <w:b/>
              </w:rPr>
              <w:t xml:space="preserve">(RÚBRICA) </w:t>
            </w:r>
          </w:p>
        </w:tc>
      </w:tr>
      <w:tr w:rsidR="00B06D8A" w:rsidTr="00B06D8A">
        <w:trPr>
          <w:jc w:val="center"/>
        </w:trPr>
        <w:tc>
          <w:tcPr>
            <w:tcW w:w="5182" w:type="dxa"/>
          </w:tcPr>
          <w:p w:rsidR="00B06D8A" w:rsidRDefault="00B06D8A">
            <w:pPr>
              <w:spacing w:line="276" w:lineRule="auto"/>
              <w:jc w:val="center"/>
              <w:rPr>
                <w:rFonts w:ascii="Palatino Linotype" w:hAnsi="Palatino Linotype" w:cs="Arial"/>
                <w:b/>
              </w:rPr>
            </w:pPr>
          </w:p>
          <w:p w:rsidR="00AF6572" w:rsidRDefault="00AF6572">
            <w:pPr>
              <w:spacing w:line="276" w:lineRule="auto"/>
              <w:jc w:val="center"/>
              <w:rPr>
                <w:rFonts w:ascii="Palatino Linotype" w:hAnsi="Palatino Linotype" w:cs="Arial"/>
                <w:b/>
              </w:rPr>
            </w:pPr>
          </w:p>
          <w:p w:rsidR="00AF6572" w:rsidRDefault="00AF6572">
            <w:pPr>
              <w:spacing w:line="276" w:lineRule="auto"/>
              <w:jc w:val="center"/>
              <w:rPr>
                <w:rFonts w:ascii="Palatino Linotype" w:hAnsi="Palatino Linotype" w:cs="Arial"/>
                <w:b/>
              </w:rPr>
            </w:pPr>
          </w:p>
          <w:p w:rsidR="0017587B" w:rsidRDefault="0017587B">
            <w:pPr>
              <w:spacing w:line="276" w:lineRule="auto"/>
              <w:jc w:val="center"/>
              <w:rPr>
                <w:rFonts w:ascii="Palatino Linotype" w:hAnsi="Palatino Linotype" w:cs="Arial"/>
                <w:b/>
              </w:rPr>
            </w:pPr>
          </w:p>
          <w:p w:rsidR="0017587B" w:rsidRDefault="0017587B">
            <w:pPr>
              <w:spacing w:line="276" w:lineRule="auto"/>
              <w:jc w:val="center"/>
              <w:rPr>
                <w:rFonts w:ascii="Palatino Linotype" w:hAnsi="Palatino Linotype" w:cs="Arial"/>
                <w:b/>
              </w:rPr>
            </w:pPr>
          </w:p>
          <w:p w:rsidR="0017587B" w:rsidRDefault="0017587B">
            <w:pPr>
              <w:spacing w:line="276" w:lineRule="auto"/>
              <w:jc w:val="center"/>
              <w:rPr>
                <w:rFonts w:ascii="Palatino Linotype" w:hAnsi="Palatino Linotype" w:cs="Arial"/>
                <w:b/>
              </w:rPr>
            </w:pPr>
          </w:p>
          <w:p w:rsidR="00B06D8A" w:rsidRDefault="00B06D8A">
            <w:pPr>
              <w:spacing w:line="276" w:lineRule="auto"/>
              <w:jc w:val="center"/>
              <w:rPr>
                <w:rFonts w:ascii="Palatino Linotype" w:hAnsi="Palatino Linotype" w:cs="Arial"/>
                <w:b/>
              </w:rPr>
            </w:pPr>
            <w:r>
              <w:rPr>
                <w:rFonts w:ascii="Palatino Linotype" w:hAnsi="Palatino Linotype" w:cs="Arial"/>
                <w:b/>
              </w:rPr>
              <w:t>Eva Abaid Yapur</w:t>
            </w:r>
          </w:p>
          <w:p w:rsidR="00B06D8A" w:rsidRDefault="00B06D8A">
            <w:pPr>
              <w:spacing w:line="276" w:lineRule="auto"/>
              <w:jc w:val="center"/>
              <w:rPr>
                <w:rFonts w:ascii="Palatino Linotype" w:hAnsi="Palatino Linotype" w:cs="Arial"/>
              </w:rPr>
            </w:pPr>
            <w:r>
              <w:rPr>
                <w:rFonts w:ascii="Palatino Linotype" w:hAnsi="Palatino Linotype" w:cs="Arial"/>
              </w:rPr>
              <w:t>Comisionada</w:t>
            </w:r>
          </w:p>
          <w:p w:rsidR="00B06D8A" w:rsidRDefault="00B06D8A" w:rsidP="00502CD3">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B06D8A" w:rsidRDefault="00B06D8A">
            <w:pPr>
              <w:spacing w:line="276" w:lineRule="auto"/>
              <w:jc w:val="center"/>
              <w:rPr>
                <w:rFonts w:ascii="Palatino Linotype" w:hAnsi="Palatino Linotype" w:cs="Arial"/>
                <w:b/>
              </w:rPr>
            </w:pPr>
          </w:p>
          <w:p w:rsidR="00AF6572" w:rsidRDefault="00AF6572">
            <w:pPr>
              <w:spacing w:line="276" w:lineRule="auto"/>
              <w:jc w:val="center"/>
              <w:rPr>
                <w:rFonts w:ascii="Palatino Linotype" w:hAnsi="Palatino Linotype" w:cs="Arial"/>
                <w:b/>
              </w:rPr>
            </w:pPr>
          </w:p>
          <w:p w:rsidR="00AF6572" w:rsidRDefault="00AF6572">
            <w:pPr>
              <w:spacing w:line="276" w:lineRule="auto"/>
              <w:jc w:val="center"/>
              <w:rPr>
                <w:rFonts w:ascii="Palatino Linotype" w:hAnsi="Palatino Linotype" w:cs="Arial"/>
                <w:b/>
              </w:rPr>
            </w:pPr>
          </w:p>
          <w:p w:rsidR="0017587B" w:rsidRDefault="0017587B">
            <w:pPr>
              <w:spacing w:line="276" w:lineRule="auto"/>
              <w:jc w:val="center"/>
              <w:rPr>
                <w:rFonts w:ascii="Palatino Linotype" w:hAnsi="Palatino Linotype" w:cs="Arial"/>
                <w:b/>
              </w:rPr>
            </w:pPr>
          </w:p>
          <w:p w:rsidR="0017587B" w:rsidRDefault="0017587B">
            <w:pPr>
              <w:spacing w:line="276" w:lineRule="auto"/>
              <w:jc w:val="center"/>
              <w:rPr>
                <w:rFonts w:ascii="Palatino Linotype" w:hAnsi="Palatino Linotype" w:cs="Arial"/>
                <w:b/>
              </w:rPr>
            </w:pPr>
          </w:p>
          <w:p w:rsidR="0017587B" w:rsidRDefault="0017587B">
            <w:pPr>
              <w:spacing w:line="276" w:lineRule="auto"/>
              <w:jc w:val="center"/>
              <w:rPr>
                <w:rFonts w:ascii="Palatino Linotype" w:hAnsi="Palatino Linotype" w:cs="Arial"/>
                <w:b/>
              </w:rPr>
            </w:pPr>
          </w:p>
          <w:p w:rsidR="00B06D8A" w:rsidRDefault="00B06D8A">
            <w:pPr>
              <w:spacing w:line="276" w:lineRule="auto"/>
              <w:jc w:val="center"/>
              <w:rPr>
                <w:rFonts w:ascii="Palatino Linotype" w:hAnsi="Palatino Linotype" w:cs="Arial"/>
                <w:b/>
              </w:rPr>
            </w:pPr>
            <w:r>
              <w:rPr>
                <w:rFonts w:ascii="Palatino Linotype" w:hAnsi="Palatino Linotype" w:cs="Arial"/>
                <w:b/>
              </w:rPr>
              <w:t>José Guadalupe Luna Hernández</w:t>
            </w:r>
          </w:p>
          <w:p w:rsidR="00B06D8A" w:rsidRDefault="00B06D8A">
            <w:pPr>
              <w:spacing w:line="276" w:lineRule="auto"/>
              <w:jc w:val="center"/>
              <w:rPr>
                <w:rFonts w:ascii="Palatino Linotype" w:hAnsi="Palatino Linotype" w:cs="Arial"/>
              </w:rPr>
            </w:pPr>
            <w:r>
              <w:rPr>
                <w:rFonts w:ascii="Palatino Linotype" w:hAnsi="Palatino Linotype" w:cs="Arial"/>
              </w:rPr>
              <w:t>Comisionado</w:t>
            </w:r>
          </w:p>
          <w:p w:rsidR="00B06D8A" w:rsidRDefault="00B06D8A" w:rsidP="00502CD3">
            <w:pPr>
              <w:spacing w:line="276" w:lineRule="auto"/>
              <w:jc w:val="center"/>
              <w:rPr>
                <w:rFonts w:ascii="Palatino Linotype" w:hAnsi="Palatino Linotype" w:cs="Arial"/>
                <w:b/>
              </w:rPr>
            </w:pPr>
            <w:r>
              <w:rPr>
                <w:rFonts w:ascii="Palatino Linotype" w:hAnsi="Palatino Linotype" w:cs="Arial"/>
                <w:b/>
              </w:rPr>
              <w:t>(RÚBRICA)</w:t>
            </w:r>
          </w:p>
        </w:tc>
      </w:tr>
      <w:tr w:rsidR="00B06D8A" w:rsidTr="00B06D8A">
        <w:trPr>
          <w:jc w:val="center"/>
        </w:trPr>
        <w:tc>
          <w:tcPr>
            <w:tcW w:w="5182" w:type="dxa"/>
          </w:tcPr>
          <w:p w:rsidR="00B06D8A" w:rsidRDefault="00B06D8A">
            <w:pPr>
              <w:spacing w:line="276" w:lineRule="auto"/>
              <w:jc w:val="center"/>
              <w:rPr>
                <w:rFonts w:ascii="Palatino Linotype" w:hAnsi="Palatino Linotype" w:cs="Arial"/>
                <w:b/>
              </w:rPr>
            </w:pPr>
          </w:p>
          <w:p w:rsidR="00B06D8A" w:rsidRDefault="00B06D8A">
            <w:pPr>
              <w:spacing w:line="276" w:lineRule="auto"/>
              <w:jc w:val="center"/>
              <w:rPr>
                <w:rFonts w:ascii="Palatino Linotype" w:hAnsi="Palatino Linotype" w:cs="Arial"/>
                <w:b/>
              </w:rPr>
            </w:pPr>
          </w:p>
          <w:p w:rsidR="00AF6572" w:rsidRDefault="00AF6572">
            <w:pPr>
              <w:spacing w:line="276" w:lineRule="auto"/>
              <w:jc w:val="center"/>
              <w:rPr>
                <w:rFonts w:ascii="Palatino Linotype" w:hAnsi="Palatino Linotype" w:cs="Arial"/>
                <w:b/>
              </w:rPr>
            </w:pPr>
          </w:p>
          <w:p w:rsidR="00AF6572" w:rsidRDefault="00AF6572" w:rsidP="0017587B">
            <w:pPr>
              <w:spacing w:line="276" w:lineRule="auto"/>
              <w:rPr>
                <w:rFonts w:ascii="Palatino Linotype" w:hAnsi="Palatino Linotype" w:cs="Arial"/>
                <w:b/>
              </w:rPr>
            </w:pPr>
          </w:p>
          <w:p w:rsidR="00B06D8A" w:rsidRDefault="00B06D8A">
            <w:pPr>
              <w:spacing w:line="276" w:lineRule="auto"/>
              <w:jc w:val="center"/>
              <w:rPr>
                <w:rFonts w:ascii="Palatino Linotype" w:hAnsi="Palatino Linotype" w:cs="Arial"/>
                <w:b/>
              </w:rPr>
            </w:pPr>
            <w:r>
              <w:rPr>
                <w:rFonts w:ascii="Palatino Linotype" w:hAnsi="Palatino Linotype" w:cs="Arial"/>
                <w:b/>
              </w:rPr>
              <w:t>Javier Martínez Cruz</w:t>
            </w:r>
          </w:p>
          <w:p w:rsidR="00B06D8A" w:rsidRDefault="00B06D8A">
            <w:pPr>
              <w:spacing w:line="276" w:lineRule="auto"/>
              <w:jc w:val="center"/>
              <w:rPr>
                <w:rFonts w:ascii="Palatino Linotype" w:hAnsi="Palatino Linotype" w:cs="Arial"/>
              </w:rPr>
            </w:pPr>
            <w:r>
              <w:rPr>
                <w:rFonts w:ascii="Palatino Linotype" w:hAnsi="Palatino Linotype" w:cs="Arial"/>
              </w:rPr>
              <w:t>Comisionado</w:t>
            </w:r>
          </w:p>
          <w:p w:rsidR="00B06D8A" w:rsidRDefault="00B06D8A">
            <w:pPr>
              <w:spacing w:line="276" w:lineRule="auto"/>
              <w:jc w:val="center"/>
              <w:rPr>
                <w:rFonts w:ascii="Palatino Linotype" w:hAnsi="Palatino Linotype" w:cs="Arial"/>
                <w:b/>
              </w:rPr>
            </w:pPr>
            <w:r>
              <w:rPr>
                <w:rFonts w:ascii="Palatino Linotype" w:hAnsi="Palatino Linotype" w:cs="Arial"/>
                <w:b/>
              </w:rPr>
              <w:t>(RÚBRICA)</w:t>
            </w:r>
          </w:p>
          <w:p w:rsidR="00B06D8A" w:rsidRDefault="00B06D8A">
            <w:pPr>
              <w:spacing w:line="276" w:lineRule="auto"/>
              <w:rPr>
                <w:rFonts w:ascii="Palatino Linotype" w:hAnsi="Palatino Linotype" w:cs="Arial"/>
                <w:b/>
              </w:rPr>
            </w:pPr>
          </w:p>
        </w:tc>
        <w:tc>
          <w:tcPr>
            <w:tcW w:w="5183" w:type="dxa"/>
          </w:tcPr>
          <w:p w:rsidR="00B06D8A" w:rsidRDefault="00B06D8A">
            <w:pPr>
              <w:spacing w:line="276" w:lineRule="auto"/>
              <w:rPr>
                <w:rFonts w:ascii="Palatino Linotype" w:hAnsi="Palatino Linotype" w:cs="Arial"/>
                <w:b/>
              </w:rPr>
            </w:pPr>
          </w:p>
          <w:p w:rsidR="00B06D8A" w:rsidRDefault="00B06D8A">
            <w:pPr>
              <w:spacing w:line="276" w:lineRule="auto"/>
              <w:rPr>
                <w:rFonts w:ascii="Palatino Linotype" w:hAnsi="Palatino Linotype" w:cs="Arial"/>
                <w:b/>
              </w:rPr>
            </w:pPr>
          </w:p>
          <w:p w:rsidR="00AF6572" w:rsidRDefault="00AF6572">
            <w:pPr>
              <w:spacing w:line="276" w:lineRule="auto"/>
              <w:rPr>
                <w:rFonts w:ascii="Palatino Linotype" w:hAnsi="Palatino Linotype" w:cs="Arial"/>
                <w:b/>
              </w:rPr>
            </w:pPr>
          </w:p>
          <w:p w:rsidR="00AF6572" w:rsidRDefault="00AF6572">
            <w:pPr>
              <w:spacing w:line="276" w:lineRule="auto"/>
              <w:rPr>
                <w:rFonts w:ascii="Palatino Linotype" w:hAnsi="Palatino Linotype" w:cs="Arial"/>
                <w:b/>
              </w:rPr>
            </w:pPr>
          </w:p>
          <w:p w:rsidR="00B06D8A" w:rsidRDefault="00B06D8A">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B06D8A" w:rsidRDefault="00B06D8A">
            <w:pPr>
              <w:spacing w:line="276" w:lineRule="auto"/>
              <w:jc w:val="center"/>
              <w:rPr>
                <w:rFonts w:ascii="Palatino Linotype" w:hAnsi="Palatino Linotype" w:cs="Arial"/>
              </w:rPr>
            </w:pPr>
            <w:r>
              <w:rPr>
                <w:rFonts w:ascii="Palatino Linotype" w:hAnsi="Palatino Linotype" w:cs="Arial"/>
              </w:rPr>
              <w:t>Comisionado</w:t>
            </w:r>
          </w:p>
          <w:p w:rsidR="00B06D8A" w:rsidRDefault="00B06D8A">
            <w:pPr>
              <w:spacing w:line="276" w:lineRule="auto"/>
              <w:jc w:val="center"/>
              <w:rPr>
                <w:rFonts w:ascii="Palatino Linotype" w:hAnsi="Palatino Linotype" w:cs="Arial"/>
                <w:b/>
              </w:rPr>
            </w:pPr>
            <w:r>
              <w:rPr>
                <w:rFonts w:ascii="Palatino Linotype" w:hAnsi="Palatino Linotype" w:cs="Arial"/>
                <w:b/>
              </w:rPr>
              <w:t>(RÚBRICA)</w:t>
            </w:r>
          </w:p>
          <w:p w:rsidR="00AF6572" w:rsidRDefault="00AF6572">
            <w:pPr>
              <w:spacing w:line="276" w:lineRule="auto"/>
              <w:jc w:val="center"/>
              <w:rPr>
                <w:rFonts w:ascii="Palatino Linotype" w:hAnsi="Palatino Linotype" w:cs="Arial"/>
                <w:b/>
              </w:rPr>
            </w:pPr>
          </w:p>
          <w:p w:rsidR="00AF6572" w:rsidRDefault="00AF6572">
            <w:pPr>
              <w:spacing w:line="276" w:lineRule="auto"/>
              <w:jc w:val="center"/>
              <w:rPr>
                <w:rFonts w:ascii="Palatino Linotype" w:hAnsi="Palatino Linotype" w:cs="Arial"/>
                <w:b/>
              </w:rPr>
            </w:pPr>
          </w:p>
          <w:p w:rsidR="0017587B" w:rsidRDefault="0017587B">
            <w:pPr>
              <w:spacing w:line="276" w:lineRule="auto"/>
              <w:jc w:val="center"/>
              <w:rPr>
                <w:rFonts w:ascii="Palatino Linotype" w:hAnsi="Palatino Linotype" w:cs="Arial"/>
                <w:b/>
              </w:rPr>
            </w:pPr>
          </w:p>
          <w:p w:rsidR="00B06D8A" w:rsidRDefault="00B06D8A" w:rsidP="00502CD3">
            <w:pPr>
              <w:spacing w:line="276" w:lineRule="auto"/>
              <w:rPr>
                <w:rFonts w:ascii="Palatino Linotype" w:hAnsi="Palatino Linotype" w:cs="Arial"/>
                <w:b/>
              </w:rPr>
            </w:pPr>
          </w:p>
        </w:tc>
      </w:tr>
      <w:tr w:rsidR="00B06D8A" w:rsidTr="00B06D8A">
        <w:trPr>
          <w:jc w:val="center"/>
        </w:trPr>
        <w:tc>
          <w:tcPr>
            <w:tcW w:w="10365" w:type="dxa"/>
            <w:gridSpan w:val="2"/>
          </w:tcPr>
          <w:p w:rsidR="00B06D8A" w:rsidRDefault="00B06D8A">
            <w:pPr>
              <w:spacing w:line="276" w:lineRule="auto"/>
              <w:jc w:val="center"/>
              <w:rPr>
                <w:rFonts w:ascii="Palatino Linotype" w:hAnsi="Palatino Linotype" w:cs="Arial"/>
                <w:b/>
              </w:rPr>
            </w:pPr>
            <w:r>
              <w:rPr>
                <w:rFonts w:ascii="Palatino Linotype" w:hAnsi="Palatino Linotype" w:cs="Arial"/>
                <w:b/>
              </w:rPr>
              <w:t>Alexis Tapia Ramírez</w:t>
            </w:r>
          </w:p>
          <w:p w:rsidR="00B06D8A" w:rsidRDefault="00B06D8A">
            <w:pPr>
              <w:spacing w:line="276" w:lineRule="auto"/>
              <w:jc w:val="center"/>
              <w:rPr>
                <w:rFonts w:ascii="Palatino Linotype" w:hAnsi="Palatino Linotype" w:cs="Arial"/>
              </w:rPr>
            </w:pPr>
            <w:r>
              <w:rPr>
                <w:rFonts w:ascii="Palatino Linotype" w:hAnsi="Palatino Linotype" w:cs="Arial"/>
              </w:rPr>
              <w:t>Secretario Técnico del Pleno</w:t>
            </w:r>
          </w:p>
          <w:p w:rsidR="00B06D8A" w:rsidRDefault="00B06D8A">
            <w:pPr>
              <w:spacing w:line="276" w:lineRule="auto"/>
              <w:jc w:val="center"/>
              <w:rPr>
                <w:rFonts w:ascii="Palatino Linotype" w:hAnsi="Palatino Linotype" w:cs="Arial"/>
                <w:b/>
              </w:rPr>
            </w:pPr>
            <w:r>
              <w:rPr>
                <w:rFonts w:ascii="Palatino Linotype" w:hAnsi="Palatino Linotype" w:cs="Arial"/>
                <w:b/>
              </w:rPr>
              <w:t>(RÚBRICA)</w:t>
            </w:r>
          </w:p>
          <w:p w:rsidR="00B06D8A" w:rsidRDefault="00B06D8A">
            <w:pPr>
              <w:spacing w:line="276" w:lineRule="auto"/>
              <w:rPr>
                <w:rFonts w:ascii="Palatino Linotype" w:hAnsi="Palatino Linotype" w:cs="Arial"/>
              </w:rPr>
            </w:pPr>
          </w:p>
        </w:tc>
      </w:tr>
    </w:tbl>
    <w:p w:rsidR="00AF6572" w:rsidRDefault="00AF6572" w:rsidP="00B06D8A">
      <w:pPr>
        <w:jc w:val="both"/>
        <w:rPr>
          <w:rFonts w:ascii="Palatino Linotype" w:hAnsi="Palatino Linotype" w:cs="Arial"/>
          <w:sz w:val="22"/>
        </w:rPr>
      </w:pPr>
    </w:p>
    <w:p w:rsidR="00AF6572" w:rsidRDefault="00AF6572" w:rsidP="00B06D8A">
      <w:pPr>
        <w:jc w:val="both"/>
        <w:rPr>
          <w:rFonts w:ascii="Palatino Linotype" w:hAnsi="Palatino Linotype" w:cs="Arial"/>
          <w:sz w:val="22"/>
        </w:rPr>
      </w:pPr>
    </w:p>
    <w:p w:rsidR="00AF6572" w:rsidRDefault="00AF6572" w:rsidP="00B06D8A">
      <w:pPr>
        <w:jc w:val="both"/>
        <w:rPr>
          <w:rFonts w:ascii="Palatino Linotype" w:hAnsi="Palatino Linotype" w:cs="Arial"/>
          <w:sz w:val="22"/>
        </w:rPr>
      </w:pPr>
    </w:p>
    <w:p w:rsidR="00AF6572" w:rsidRDefault="00AF6572" w:rsidP="00B06D8A">
      <w:pPr>
        <w:jc w:val="both"/>
        <w:rPr>
          <w:rFonts w:ascii="Palatino Linotype" w:hAnsi="Palatino Linotype" w:cs="Arial"/>
          <w:sz w:val="22"/>
        </w:rPr>
      </w:pPr>
    </w:p>
    <w:p w:rsidR="00AF6572" w:rsidRDefault="00AF6572" w:rsidP="00B06D8A">
      <w:pPr>
        <w:jc w:val="both"/>
        <w:rPr>
          <w:rFonts w:ascii="Palatino Linotype" w:hAnsi="Palatino Linotype" w:cs="Arial"/>
          <w:sz w:val="22"/>
        </w:rPr>
      </w:pPr>
    </w:p>
    <w:p w:rsidR="00AF6572" w:rsidRDefault="00AF6572" w:rsidP="00B06D8A">
      <w:pPr>
        <w:jc w:val="both"/>
        <w:rPr>
          <w:rFonts w:ascii="Palatino Linotype" w:hAnsi="Palatino Linotype" w:cs="Arial"/>
          <w:sz w:val="22"/>
        </w:rPr>
      </w:pPr>
    </w:p>
    <w:p w:rsidR="00AF6572" w:rsidRDefault="00AF6572" w:rsidP="00B06D8A">
      <w:pPr>
        <w:jc w:val="both"/>
        <w:rPr>
          <w:rFonts w:ascii="Palatino Linotype" w:hAnsi="Palatino Linotype" w:cs="Arial"/>
          <w:sz w:val="22"/>
        </w:rPr>
      </w:pPr>
    </w:p>
    <w:p w:rsidR="00AF6572" w:rsidRDefault="00AF6572" w:rsidP="00B06D8A">
      <w:pPr>
        <w:jc w:val="both"/>
        <w:rPr>
          <w:rFonts w:ascii="Palatino Linotype" w:hAnsi="Palatino Linotype" w:cs="Arial"/>
          <w:sz w:val="22"/>
        </w:rPr>
      </w:pPr>
    </w:p>
    <w:p w:rsidR="00AF6572" w:rsidRDefault="00AF6572" w:rsidP="00B06D8A">
      <w:pPr>
        <w:jc w:val="both"/>
        <w:rPr>
          <w:rFonts w:ascii="Palatino Linotype" w:hAnsi="Palatino Linotype" w:cs="Arial"/>
          <w:sz w:val="22"/>
        </w:rPr>
      </w:pPr>
    </w:p>
    <w:p w:rsidR="00AF6572" w:rsidRDefault="00AF6572" w:rsidP="00B06D8A">
      <w:pPr>
        <w:jc w:val="both"/>
        <w:rPr>
          <w:rFonts w:ascii="Palatino Linotype" w:hAnsi="Palatino Linotype" w:cs="Arial"/>
          <w:sz w:val="22"/>
        </w:rPr>
      </w:pPr>
    </w:p>
    <w:p w:rsidR="00B06D8A" w:rsidRDefault="00AF6572" w:rsidP="00B06D8A">
      <w:pPr>
        <w:jc w:val="both"/>
        <w:rPr>
          <w:rFonts w:ascii="Palatino Linotype" w:hAnsi="Palatino Linotype" w:cs="Arial"/>
          <w:sz w:val="22"/>
        </w:rPr>
      </w:pPr>
      <w:r>
        <w:rPr>
          <w:rFonts w:ascii="Palatino Linotype" w:hAnsi="Palatino Linotype" w:cs="Arial"/>
          <w:sz w:val="22"/>
        </w:rPr>
        <w:t>E</w:t>
      </w:r>
      <w:r w:rsidR="00B06D8A">
        <w:rPr>
          <w:rFonts w:ascii="Palatino Linotype" w:hAnsi="Palatino Linotype" w:cs="Arial"/>
          <w:sz w:val="22"/>
        </w:rPr>
        <w:t>sta hoja correspon</w:t>
      </w:r>
      <w:r w:rsidR="0017587B">
        <w:rPr>
          <w:rFonts w:ascii="Palatino Linotype" w:hAnsi="Palatino Linotype" w:cs="Arial"/>
          <w:sz w:val="22"/>
        </w:rPr>
        <w:t>de a la resolución de fecha treinta y uno</w:t>
      </w:r>
      <w:r w:rsidR="00B06D8A">
        <w:rPr>
          <w:rFonts w:ascii="Palatino Linotype" w:hAnsi="Palatino Linotype" w:cs="Arial"/>
          <w:sz w:val="22"/>
        </w:rPr>
        <w:t xml:space="preserve"> de julio de dos mil diecinueve, emitida en el recurso de revisión número 0</w:t>
      </w:r>
      <w:r>
        <w:rPr>
          <w:rFonts w:ascii="Palatino Linotype" w:hAnsi="Palatino Linotype" w:cs="Arial"/>
          <w:sz w:val="22"/>
        </w:rPr>
        <w:t>3807</w:t>
      </w:r>
      <w:r w:rsidR="0017587B">
        <w:rPr>
          <w:rFonts w:ascii="Palatino Linotype" w:hAnsi="Palatino Linotype" w:cs="Arial"/>
          <w:sz w:val="22"/>
        </w:rPr>
        <w:t>/INFOEM/IP/RR/2019.</w:t>
      </w:r>
    </w:p>
    <w:p w:rsidR="006E2A57" w:rsidRDefault="00B06D8A" w:rsidP="00502CD3">
      <w:pPr>
        <w:jc w:val="both"/>
      </w:pPr>
      <w:r>
        <w:rPr>
          <w:rFonts w:ascii="Palatino Linotype" w:hAnsi="Palatino Linotype" w:cs="Arial"/>
          <w:sz w:val="22"/>
        </w:rPr>
        <w:t>YSM/ATU</w:t>
      </w:r>
      <w:bookmarkStart w:id="0" w:name="_GoBack"/>
      <w:bookmarkEnd w:id="0"/>
    </w:p>
    <w:sectPr w:rsidR="006E2A57" w:rsidSect="00706DE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AE1" w:rsidRDefault="007B2AE1" w:rsidP="00502CD3">
      <w:r>
        <w:separator/>
      </w:r>
    </w:p>
  </w:endnote>
  <w:endnote w:type="continuationSeparator" w:id="0">
    <w:p w:rsidR="007B2AE1" w:rsidRDefault="007B2AE1"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069671"/>
      <w:docPartObj>
        <w:docPartGallery w:val="Page Numbers (Bottom of Page)"/>
        <w:docPartUnique/>
      </w:docPartObj>
    </w:sdtPr>
    <w:sdtEndPr/>
    <w:sdtContent>
      <w:sdt>
        <w:sdtPr>
          <w:id w:val="-1769616900"/>
          <w:docPartObj>
            <w:docPartGallery w:val="Page Numbers (Top of Page)"/>
            <w:docPartUnique/>
          </w:docPartObj>
        </w:sdtPr>
        <w:sdtEndPr/>
        <w:sdtContent>
          <w:p w:rsidR="00AF6572" w:rsidRDefault="00AF6572">
            <w:pPr>
              <w:pStyle w:val="Piedepgina"/>
              <w:jc w:val="right"/>
            </w:pPr>
            <w:r>
              <w:rPr>
                <w:lang w:val="es-ES"/>
              </w:rPr>
              <w:t xml:space="preserve">Página </w:t>
            </w:r>
            <w:r>
              <w:rPr>
                <w:b/>
                <w:bCs/>
              </w:rPr>
              <w:fldChar w:fldCharType="begin"/>
            </w:r>
            <w:r>
              <w:rPr>
                <w:b/>
                <w:bCs/>
              </w:rPr>
              <w:instrText>PAGE</w:instrText>
            </w:r>
            <w:r>
              <w:rPr>
                <w:b/>
                <w:bCs/>
              </w:rPr>
              <w:fldChar w:fldCharType="separate"/>
            </w:r>
            <w:r w:rsidR="008F033B">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F033B">
              <w:rPr>
                <w:b/>
                <w:bCs/>
                <w:noProof/>
              </w:rPr>
              <w:t>20</w:t>
            </w:r>
            <w:r>
              <w:rPr>
                <w:b/>
                <w:bCs/>
              </w:rPr>
              <w:fldChar w:fldCharType="end"/>
            </w:r>
          </w:p>
        </w:sdtContent>
      </w:sdt>
    </w:sdtContent>
  </w:sdt>
  <w:p w:rsidR="00AF6572" w:rsidRDefault="00AF65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020600"/>
      <w:docPartObj>
        <w:docPartGallery w:val="Page Numbers (Bottom of Page)"/>
        <w:docPartUnique/>
      </w:docPartObj>
    </w:sdtPr>
    <w:sdtEndPr/>
    <w:sdtContent>
      <w:sdt>
        <w:sdtPr>
          <w:id w:val="-61643936"/>
          <w:docPartObj>
            <w:docPartGallery w:val="Page Numbers (Top of Page)"/>
            <w:docPartUnique/>
          </w:docPartObj>
        </w:sdtPr>
        <w:sdtEndPr/>
        <w:sdtContent>
          <w:p w:rsidR="00DF2A9E" w:rsidRDefault="00DF2A9E">
            <w:pPr>
              <w:pStyle w:val="Piedepgina"/>
              <w:jc w:val="right"/>
            </w:pPr>
            <w:r>
              <w:rPr>
                <w:lang w:val="es-ES"/>
              </w:rPr>
              <w:t xml:space="preserve">Página </w:t>
            </w:r>
            <w:r>
              <w:rPr>
                <w:b/>
                <w:bCs/>
              </w:rPr>
              <w:fldChar w:fldCharType="begin"/>
            </w:r>
            <w:r>
              <w:rPr>
                <w:b/>
                <w:bCs/>
              </w:rPr>
              <w:instrText>PAGE</w:instrText>
            </w:r>
            <w:r>
              <w:rPr>
                <w:b/>
                <w:bCs/>
              </w:rPr>
              <w:fldChar w:fldCharType="separate"/>
            </w:r>
            <w:r w:rsidR="008F033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F033B">
              <w:rPr>
                <w:b/>
                <w:bCs/>
                <w:noProof/>
              </w:rPr>
              <w:t>20</w:t>
            </w:r>
            <w:r>
              <w:rPr>
                <w:b/>
                <w:bCs/>
              </w:rPr>
              <w:fldChar w:fldCharType="end"/>
            </w:r>
          </w:p>
        </w:sdtContent>
      </w:sdt>
    </w:sdtContent>
  </w:sdt>
  <w:p w:rsidR="00DF2A9E" w:rsidRDefault="00DF2A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AE1" w:rsidRDefault="007B2AE1" w:rsidP="00502CD3">
      <w:r>
        <w:separator/>
      </w:r>
    </w:p>
  </w:footnote>
  <w:footnote w:type="continuationSeparator" w:id="0">
    <w:p w:rsidR="007B2AE1" w:rsidRDefault="007B2AE1"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Layout w:type="fixed"/>
      <w:tblLook w:val="04A0" w:firstRow="1" w:lastRow="0" w:firstColumn="1" w:lastColumn="0" w:noHBand="0" w:noVBand="1"/>
    </w:tblPr>
    <w:tblGrid>
      <w:gridCol w:w="3539"/>
      <w:gridCol w:w="2410"/>
      <w:gridCol w:w="2982"/>
    </w:tblGrid>
    <w:tr w:rsidR="006E1201" w:rsidRPr="008F2CCC" w:rsidTr="006E1201">
      <w:tc>
        <w:tcPr>
          <w:tcW w:w="3539" w:type="dxa"/>
          <w:vMerge w:val="restart"/>
        </w:tcPr>
        <w:p w:rsidR="006E1201" w:rsidRPr="008F2CCC" w:rsidRDefault="006E1201" w:rsidP="00706DE9">
          <w:pPr>
            <w:rPr>
              <w:rFonts w:ascii="Palatino Linotype" w:hAnsi="Palatino Linotype"/>
              <w:b/>
              <w:sz w:val="22"/>
              <w:szCs w:val="22"/>
              <w:lang w:val="es-ES_tradnl"/>
            </w:rPr>
          </w:pPr>
        </w:p>
      </w:tc>
      <w:tc>
        <w:tcPr>
          <w:tcW w:w="2410" w:type="dxa"/>
          <w:shd w:val="clear" w:color="auto" w:fill="auto"/>
        </w:tcPr>
        <w:p w:rsidR="006E1201" w:rsidRPr="008F2CCC" w:rsidRDefault="006E1201" w:rsidP="00706DE9">
          <w:pPr>
            <w:ind w:right="-959"/>
            <w:rPr>
              <w:rFonts w:ascii="Palatino Linotype" w:hAnsi="Palatino Linotype"/>
              <w:b/>
              <w:sz w:val="22"/>
              <w:szCs w:val="22"/>
              <w:lang w:val="es-ES_tradnl"/>
            </w:rPr>
          </w:pP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Recurso de revisión:</w:t>
          </w:r>
        </w:p>
      </w:tc>
      <w:tc>
        <w:tcPr>
          <w:tcW w:w="2982" w:type="dxa"/>
          <w:shd w:val="clear" w:color="auto" w:fill="auto"/>
          <w:vAlign w:val="center"/>
        </w:tcPr>
        <w:p w:rsidR="006E1201" w:rsidRPr="008F2CCC" w:rsidRDefault="006E1201" w:rsidP="00706DE9">
          <w:pPr>
            <w:ind w:left="39" w:right="-107"/>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3807</w:t>
          </w:r>
          <w:r w:rsidRPr="003677AA">
            <w:rPr>
              <w:rFonts w:ascii="Palatino Linotype" w:hAnsi="Palatino Linotype"/>
              <w:b/>
              <w:sz w:val="22"/>
              <w:szCs w:val="22"/>
              <w:lang w:val="es-ES_tradnl"/>
            </w:rPr>
            <w:t>/INFOEM/IP/RR/2019</w:t>
          </w:r>
        </w:p>
      </w:tc>
    </w:tr>
    <w:tr w:rsidR="006E1201" w:rsidRPr="008F2CCC" w:rsidTr="006E1201">
      <w:trPr>
        <w:trHeight w:val="228"/>
      </w:trPr>
      <w:tc>
        <w:tcPr>
          <w:tcW w:w="3539" w:type="dxa"/>
          <w:vMerge/>
        </w:tcPr>
        <w:p w:rsidR="006E1201" w:rsidRPr="008F2CCC" w:rsidRDefault="006E1201" w:rsidP="00706DE9">
          <w:pPr>
            <w:rPr>
              <w:rFonts w:ascii="Palatino Linotype" w:hAnsi="Palatino Linotype"/>
              <w:b/>
              <w:sz w:val="22"/>
              <w:szCs w:val="22"/>
              <w:lang w:val="es-ES_tradnl"/>
            </w:rPr>
          </w:pPr>
        </w:p>
      </w:tc>
      <w:tc>
        <w:tcPr>
          <w:tcW w:w="2410" w:type="dxa"/>
          <w:shd w:val="clear" w:color="auto" w:fill="auto"/>
        </w:tcPr>
        <w:p w:rsidR="006E1201" w:rsidRPr="008F2CCC" w:rsidRDefault="006E1201" w:rsidP="00706DE9">
          <w:pPr>
            <w:ind w:right="-959"/>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Sujeto Obligado:</w:t>
          </w:r>
        </w:p>
      </w:tc>
      <w:tc>
        <w:tcPr>
          <w:tcW w:w="2982" w:type="dxa"/>
          <w:shd w:val="clear" w:color="auto" w:fill="auto"/>
          <w:vAlign w:val="center"/>
        </w:tcPr>
        <w:p w:rsidR="006E1201" w:rsidRPr="00462829" w:rsidRDefault="006E1201" w:rsidP="00706DE9">
          <w:pPr>
            <w:ind w:left="39" w:right="-107"/>
            <w:rPr>
              <w:rFonts w:ascii="Palatino Linotype" w:hAnsi="Palatino Linotype"/>
              <w:b/>
              <w:sz w:val="22"/>
              <w:szCs w:val="22"/>
            </w:rPr>
          </w:pPr>
          <w:r w:rsidRPr="00706DE9">
            <w:rPr>
              <w:rFonts w:ascii="Palatino Linotype" w:hAnsi="Palatino Linotype"/>
              <w:b/>
              <w:sz w:val="22"/>
              <w:szCs w:val="22"/>
            </w:rPr>
            <w:t>Ayuntamiento de Nicolás Romero</w:t>
          </w:r>
        </w:p>
      </w:tc>
    </w:tr>
    <w:tr w:rsidR="006E1201" w:rsidRPr="008F2CCC" w:rsidTr="006E1201">
      <w:tc>
        <w:tcPr>
          <w:tcW w:w="3539" w:type="dxa"/>
        </w:tcPr>
        <w:p w:rsidR="006E1201" w:rsidRPr="008F2CCC" w:rsidRDefault="006E1201" w:rsidP="00706DE9">
          <w:pPr>
            <w:rPr>
              <w:rFonts w:ascii="Palatino Linotype" w:hAnsi="Palatino Linotype"/>
              <w:b/>
              <w:sz w:val="22"/>
              <w:szCs w:val="22"/>
              <w:lang w:val="es-ES_tradnl"/>
            </w:rPr>
          </w:pPr>
        </w:p>
      </w:tc>
      <w:tc>
        <w:tcPr>
          <w:tcW w:w="2410" w:type="dxa"/>
          <w:shd w:val="clear" w:color="auto" w:fill="auto"/>
        </w:tcPr>
        <w:p w:rsidR="006E1201" w:rsidRPr="008F2CCC" w:rsidRDefault="006E1201" w:rsidP="00706DE9">
          <w:pPr>
            <w:ind w:right="-959"/>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82" w:type="dxa"/>
          <w:shd w:val="clear" w:color="auto" w:fill="auto"/>
        </w:tcPr>
        <w:p w:rsidR="006E1201" w:rsidRPr="008F2CCC" w:rsidRDefault="006E1201" w:rsidP="00706DE9">
          <w:pPr>
            <w:ind w:left="39" w:right="-107"/>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E1201" w:rsidRDefault="006E1201" w:rsidP="00706DE9">
    <w:pPr>
      <w:pStyle w:val="Encabezado"/>
      <w:ind w:right="-9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Layout w:type="fixed"/>
      <w:tblLook w:val="04A0" w:firstRow="1" w:lastRow="0" w:firstColumn="1" w:lastColumn="0" w:noHBand="0" w:noVBand="1"/>
    </w:tblPr>
    <w:tblGrid>
      <w:gridCol w:w="3539"/>
      <w:gridCol w:w="2410"/>
      <w:gridCol w:w="2982"/>
    </w:tblGrid>
    <w:tr w:rsidR="006E1201" w:rsidRPr="008F2CCC" w:rsidTr="006E1201">
      <w:tc>
        <w:tcPr>
          <w:tcW w:w="3539" w:type="dxa"/>
          <w:vMerge w:val="restart"/>
        </w:tcPr>
        <w:p w:rsidR="006E1201" w:rsidRPr="008F2CCC" w:rsidRDefault="006E1201" w:rsidP="00706DE9">
          <w:pPr>
            <w:rPr>
              <w:rFonts w:ascii="Palatino Linotype" w:hAnsi="Palatino Linotype"/>
              <w:b/>
              <w:sz w:val="22"/>
              <w:szCs w:val="22"/>
              <w:lang w:val="es-ES_tradnl"/>
            </w:rPr>
          </w:pPr>
        </w:p>
      </w:tc>
      <w:tc>
        <w:tcPr>
          <w:tcW w:w="2410" w:type="dxa"/>
          <w:shd w:val="clear" w:color="auto" w:fill="auto"/>
        </w:tcPr>
        <w:p w:rsidR="006E1201" w:rsidRPr="008F2CCC" w:rsidRDefault="006E1201" w:rsidP="00706DE9">
          <w:pPr>
            <w:ind w:right="-959"/>
            <w:rPr>
              <w:rFonts w:ascii="Palatino Linotype" w:hAnsi="Palatino Linotype"/>
              <w:b/>
              <w:sz w:val="22"/>
              <w:szCs w:val="22"/>
              <w:lang w:val="es-ES_tradnl"/>
            </w:rPr>
          </w:pP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Recurso de revisión:</w:t>
          </w:r>
        </w:p>
      </w:tc>
      <w:tc>
        <w:tcPr>
          <w:tcW w:w="2982" w:type="dxa"/>
          <w:shd w:val="clear" w:color="auto" w:fill="auto"/>
          <w:vAlign w:val="center"/>
        </w:tcPr>
        <w:p w:rsidR="006E1201" w:rsidRPr="008F2CCC" w:rsidRDefault="006E1201" w:rsidP="00706DE9">
          <w:pPr>
            <w:ind w:left="39" w:right="-107"/>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3807</w:t>
          </w:r>
          <w:r w:rsidRPr="003677AA">
            <w:rPr>
              <w:rFonts w:ascii="Palatino Linotype" w:hAnsi="Palatino Linotype"/>
              <w:b/>
              <w:sz w:val="22"/>
              <w:szCs w:val="22"/>
              <w:lang w:val="es-ES_tradnl"/>
            </w:rPr>
            <w:t>/INFOEM/IP/RR/2019</w:t>
          </w:r>
        </w:p>
      </w:tc>
    </w:tr>
    <w:tr w:rsidR="006E1201" w:rsidRPr="008F2CCC" w:rsidTr="006E1201">
      <w:trPr>
        <w:trHeight w:val="228"/>
      </w:trPr>
      <w:tc>
        <w:tcPr>
          <w:tcW w:w="3539" w:type="dxa"/>
          <w:vMerge/>
        </w:tcPr>
        <w:p w:rsidR="006E1201" w:rsidRPr="008F2CCC" w:rsidRDefault="006E1201" w:rsidP="00706DE9">
          <w:pPr>
            <w:rPr>
              <w:rFonts w:ascii="Palatino Linotype" w:hAnsi="Palatino Linotype"/>
              <w:b/>
              <w:sz w:val="22"/>
              <w:szCs w:val="22"/>
              <w:lang w:val="es-ES_tradnl"/>
            </w:rPr>
          </w:pPr>
        </w:p>
      </w:tc>
      <w:tc>
        <w:tcPr>
          <w:tcW w:w="2410" w:type="dxa"/>
          <w:shd w:val="clear" w:color="auto" w:fill="auto"/>
        </w:tcPr>
        <w:p w:rsidR="006E1201" w:rsidRPr="008F2CCC" w:rsidRDefault="006E1201" w:rsidP="00706DE9">
          <w:pPr>
            <w:ind w:right="-959"/>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Sujeto Obligado:</w:t>
          </w:r>
        </w:p>
      </w:tc>
      <w:tc>
        <w:tcPr>
          <w:tcW w:w="2982" w:type="dxa"/>
          <w:shd w:val="clear" w:color="auto" w:fill="auto"/>
          <w:vAlign w:val="center"/>
        </w:tcPr>
        <w:p w:rsidR="006E1201" w:rsidRPr="00462829" w:rsidRDefault="006E1201" w:rsidP="00706DE9">
          <w:pPr>
            <w:ind w:left="39" w:right="-107"/>
            <w:rPr>
              <w:rFonts w:ascii="Palatino Linotype" w:hAnsi="Palatino Linotype"/>
              <w:b/>
              <w:sz w:val="22"/>
              <w:szCs w:val="22"/>
            </w:rPr>
          </w:pPr>
          <w:r w:rsidRPr="00706DE9">
            <w:rPr>
              <w:rFonts w:ascii="Palatino Linotype" w:hAnsi="Palatino Linotype"/>
              <w:b/>
              <w:sz w:val="22"/>
              <w:szCs w:val="22"/>
            </w:rPr>
            <w:t>Ayuntamiento de Nicolás Romero</w:t>
          </w:r>
        </w:p>
      </w:tc>
    </w:tr>
    <w:tr w:rsidR="006E1201" w:rsidRPr="008F2CCC" w:rsidTr="006E1201">
      <w:tc>
        <w:tcPr>
          <w:tcW w:w="3539" w:type="dxa"/>
          <w:vMerge/>
        </w:tcPr>
        <w:p w:rsidR="006E1201" w:rsidRPr="008F2CCC" w:rsidRDefault="006E1201" w:rsidP="00706DE9">
          <w:pPr>
            <w:rPr>
              <w:rFonts w:ascii="Palatino Linotype" w:hAnsi="Palatino Linotype"/>
              <w:b/>
              <w:sz w:val="22"/>
              <w:szCs w:val="22"/>
              <w:lang w:val="es-ES_tradnl"/>
            </w:rPr>
          </w:pPr>
        </w:p>
      </w:tc>
      <w:tc>
        <w:tcPr>
          <w:tcW w:w="2410" w:type="dxa"/>
          <w:shd w:val="clear" w:color="auto" w:fill="auto"/>
        </w:tcPr>
        <w:p w:rsidR="006E1201" w:rsidRPr="008F2CCC" w:rsidRDefault="006E1201" w:rsidP="00706DE9">
          <w:pPr>
            <w:ind w:right="-959"/>
            <w:jc w:val="both"/>
            <w:rPr>
              <w:rFonts w:ascii="Palatino Linotype" w:hAnsi="Palatino Linotype"/>
              <w:b/>
              <w:sz w:val="22"/>
              <w:szCs w:val="22"/>
              <w:lang w:val="es-ES_tradnl"/>
            </w:rPr>
          </w:pPr>
          <w:r>
            <w:rPr>
              <w:rFonts w:ascii="Palatino Linotype" w:hAnsi="Palatino Linotype"/>
              <w:b/>
              <w:sz w:val="22"/>
              <w:szCs w:val="22"/>
              <w:lang w:val="es-ES_tradnl"/>
            </w:rPr>
            <w:t xml:space="preserve">                     Recurrente:</w:t>
          </w:r>
        </w:p>
      </w:tc>
      <w:tc>
        <w:tcPr>
          <w:tcW w:w="2982" w:type="dxa"/>
          <w:shd w:val="clear" w:color="auto" w:fill="auto"/>
        </w:tcPr>
        <w:p w:rsidR="006E1201" w:rsidRPr="008F2CCC" w:rsidRDefault="008F033B" w:rsidP="008F033B">
          <w:pPr>
            <w:ind w:left="39" w:right="-107"/>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6E120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6E1201" w:rsidRPr="00706DE9">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6E1201" w:rsidRPr="00706DE9">
            <w:rPr>
              <w:rFonts w:ascii="Palatino Linotype" w:hAnsi="Palatino Linotype"/>
              <w:b/>
              <w:sz w:val="22"/>
              <w:szCs w:val="22"/>
              <w:lang w:val="es-ES_tradnl"/>
            </w:rPr>
            <w:tab/>
          </w:r>
          <w:proofErr w:type="spellStart"/>
          <w:r>
            <w:rPr>
              <w:rFonts w:ascii="Palatino Linotype" w:hAnsi="Palatino Linotype"/>
              <w:b/>
              <w:sz w:val="22"/>
              <w:szCs w:val="22"/>
              <w:lang w:val="es-ES_tradnl"/>
            </w:rPr>
            <w:t>XXXXXSXX</w:t>
          </w:r>
          <w:proofErr w:type="spellEnd"/>
          <w:r w:rsidR="006E1201">
            <w:rPr>
              <w:rFonts w:ascii="Palatino Linotype" w:hAnsi="Palatino Linotype"/>
              <w:b/>
              <w:sz w:val="22"/>
              <w:szCs w:val="22"/>
              <w:lang w:val="es-ES_tradnl"/>
            </w:rPr>
            <w:tab/>
          </w:r>
        </w:p>
      </w:tc>
    </w:tr>
    <w:tr w:rsidR="006E1201" w:rsidRPr="008F2CCC" w:rsidTr="006E1201">
      <w:tc>
        <w:tcPr>
          <w:tcW w:w="3539" w:type="dxa"/>
        </w:tcPr>
        <w:p w:rsidR="006E1201" w:rsidRPr="008F2CCC" w:rsidRDefault="006E1201" w:rsidP="00706DE9">
          <w:pPr>
            <w:rPr>
              <w:rFonts w:ascii="Palatino Linotype" w:hAnsi="Palatino Linotype"/>
              <w:b/>
              <w:sz w:val="22"/>
              <w:szCs w:val="22"/>
              <w:lang w:val="es-ES_tradnl"/>
            </w:rPr>
          </w:pPr>
        </w:p>
      </w:tc>
      <w:tc>
        <w:tcPr>
          <w:tcW w:w="2410" w:type="dxa"/>
          <w:shd w:val="clear" w:color="auto" w:fill="auto"/>
        </w:tcPr>
        <w:p w:rsidR="006E1201" w:rsidRPr="008F2CCC" w:rsidRDefault="006E1201" w:rsidP="00706DE9">
          <w:pPr>
            <w:ind w:right="-959"/>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82" w:type="dxa"/>
          <w:shd w:val="clear" w:color="auto" w:fill="auto"/>
        </w:tcPr>
        <w:p w:rsidR="006E1201" w:rsidRPr="008F2CCC" w:rsidRDefault="006E1201" w:rsidP="00706DE9">
          <w:pPr>
            <w:ind w:left="39" w:right="-107"/>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E1201" w:rsidRDefault="006E12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7A023BD"/>
    <w:multiLevelType w:val="hybridMultilevel"/>
    <w:tmpl w:val="9B686FF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70D60510"/>
    <w:multiLevelType w:val="hybridMultilevel"/>
    <w:tmpl w:val="59D25CD0"/>
    <w:lvl w:ilvl="0" w:tplc="535A024C">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1"/>
  </w:num>
  <w:num w:numId="8">
    <w:abstractNumId w:val="1"/>
  </w:num>
  <w:num w:numId="9">
    <w:abstractNumId w:val="2"/>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615A6"/>
    <w:rsid w:val="000E2F43"/>
    <w:rsid w:val="0017587B"/>
    <w:rsid w:val="00314011"/>
    <w:rsid w:val="003752F6"/>
    <w:rsid w:val="004D2C13"/>
    <w:rsid w:val="004D7E87"/>
    <w:rsid w:val="004E28A8"/>
    <w:rsid w:val="00502CD3"/>
    <w:rsid w:val="00603032"/>
    <w:rsid w:val="006917E8"/>
    <w:rsid w:val="006E1201"/>
    <w:rsid w:val="006E2A57"/>
    <w:rsid w:val="00702C2B"/>
    <w:rsid w:val="00706DE9"/>
    <w:rsid w:val="00760C6B"/>
    <w:rsid w:val="007904BD"/>
    <w:rsid w:val="007A4636"/>
    <w:rsid w:val="007B2AE1"/>
    <w:rsid w:val="00800A61"/>
    <w:rsid w:val="008F033B"/>
    <w:rsid w:val="009811DE"/>
    <w:rsid w:val="009C7575"/>
    <w:rsid w:val="00A86480"/>
    <w:rsid w:val="00AE5653"/>
    <w:rsid w:val="00AF6572"/>
    <w:rsid w:val="00B06D8A"/>
    <w:rsid w:val="00B07BB3"/>
    <w:rsid w:val="00B5356E"/>
    <w:rsid w:val="00C13BF5"/>
    <w:rsid w:val="00C16D39"/>
    <w:rsid w:val="00DB19D9"/>
    <w:rsid w:val="00DF2A9E"/>
    <w:rsid w:val="00E261CD"/>
    <w:rsid w:val="00EA565D"/>
    <w:rsid w:val="00EB6B1D"/>
    <w:rsid w:val="00F1514D"/>
    <w:rsid w:val="00F3553A"/>
    <w:rsid w:val="00FF37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semiHidden/>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uiPriority w:val="99"/>
    <w:semiHidden/>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801920218">
      <w:bodyDiv w:val="1"/>
      <w:marLeft w:val="0"/>
      <w:marRight w:val="0"/>
      <w:marTop w:val="0"/>
      <w:marBottom w:val="0"/>
      <w:divBdr>
        <w:top w:val="none" w:sz="0" w:space="0" w:color="auto"/>
        <w:left w:val="none" w:sz="0" w:space="0" w:color="auto"/>
        <w:bottom w:val="none" w:sz="0" w:space="0" w:color="auto"/>
        <w:right w:val="none" w:sz="0" w:space="0" w:color="auto"/>
      </w:divBdr>
    </w:div>
    <w:div w:id="1356079177">
      <w:bodyDiv w:val="1"/>
      <w:marLeft w:val="0"/>
      <w:marRight w:val="0"/>
      <w:marTop w:val="0"/>
      <w:marBottom w:val="0"/>
      <w:divBdr>
        <w:top w:val="none" w:sz="0" w:space="0" w:color="auto"/>
        <w:left w:val="none" w:sz="0" w:space="0" w:color="auto"/>
        <w:bottom w:val="none" w:sz="0" w:space="0" w:color="auto"/>
        <w:right w:val="none" w:sz="0" w:space="0" w:color="auto"/>
      </w:divBdr>
    </w:div>
    <w:div w:id="1563516758">
      <w:bodyDiv w:val="1"/>
      <w:marLeft w:val="0"/>
      <w:marRight w:val="0"/>
      <w:marTop w:val="0"/>
      <w:marBottom w:val="0"/>
      <w:divBdr>
        <w:top w:val="none" w:sz="0" w:space="0" w:color="auto"/>
        <w:left w:val="none" w:sz="0" w:space="0" w:color="auto"/>
        <w:bottom w:val="none" w:sz="0" w:space="0" w:color="auto"/>
        <w:right w:val="none" w:sz="0" w:space="0" w:color="auto"/>
      </w:divBdr>
    </w:div>
    <w:div w:id="213197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NICOLASROMERO/art_92_xxxvi.we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4660</Words>
  <Characters>25635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2019-07-10T23:16:00Z</cp:lastPrinted>
  <dcterms:created xsi:type="dcterms:W3CDTF">2019-07-12T01:37:00Z</dcterms:created>
  <dcterms:modified xsi:type="dcterms:W3CDTF">2019-08-22T18:35:00Z</dcterms:modified>
</cp:coreProperties>
</file>